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07" w:rsidRPr="00000E07" w:rsidRDefault="006753C5" w:rsidP="00000E07">
      <w:pPr>
        <w:pStyle w:val="Heading1"/>
        <w:rPr>
          <w:rFonts w:ascii="Arial" w:hAnsi="Arial" w:cs="Arial"/>
          <w:color w:val="2D4746"/>
        </w:rPr>
      </w:pPr>
      <w:bookmarkStart w:id="0" w:name="_GoBack"/>
      <w:bookmarkEnd w:id="0"/>
      <w:r w:rsidRPr="00000E07">
        <w:rPr>
          <w:rFonts w:ascii="Arial" w:hAnsi="Arial" w:cs="Arial"/>
          <w:color w:val="2D4746"/>
        </w:rPr>
        <w:t>SEDA</w:t>
      </w:r>
      <w:r w:rsidR="00000E07" w:rsidRPr="00000E07">
        <w:rPr>
          <w:rFonts w:ascii="Arial" w:hAnsi="Arial" w:cs="Arial"/>
          <w:color w:val="2D4746"/>
        </w:rPr>
        <w:t xml:space="preserve"> Research and Evaluation Small G</w:t>
      </w:r>
      <w:r w:rsidRPr="00000E07">
        <w:rPr>
          <w:rFonts w:ascii="Arial" w:hAnsi="Arial" w:cs="Arial"/>
          <w:color w:val="2D4746"/>
        </w:rPr>
        <w:t>rants</w:t>
      </w:r>
    </w:p>
    <w:p w:rsidR="00104DA5" w:rsidRPr="00000E07" w:rsidRDefault="00104DA5" w:rsidP="00000E07">
      <w:pPr>
        <w:pStyle w:val="Heading2"/>
        <w:rPr>
          <w:rFonts w:ascii="Arial" w:hAnsi="Arial" w:cs="Arial"/>
          <w:color w:val="7AAAA8"/>
        </w:rPr>
      </w:pPr>
      <w:r w:rsidRPr="00000E07">
        <w:rPr>
          <w:rFonts w:ascii="Arial" w:hAnsi="Arial" w:cs="Arial"/>
          <w:color w:val="7AAAA8"/>
        </w:rPr>
        <w:t xml:space="preserve">Final report </w:t>
      </w:r>
      <w:r w:rsidR="00000E07" w:rsidRPr="00000E07">
        <w:rPr>
          <w:rFonts w:ascii="Arial" w:hAnsi="Arial" w:cs="Arial"/>
          <w:color w:val="7AAAA8"/>
        </w:rPr>
        <w:br/>
      </w:r>
    </w:p>
    <w:p w:rsidR="00000E07" w:rsidRPr="00584FB9" w:rsidRDefault="00000E07" w:rsidP="00584FB9">
      <w:pPr>
        <w:pStyle w:val="ColourfulList-Accent11"/>
        <w:spacing w:line="360" w:lineRule="auto"/>
        <w:ind w:left="0"/>
        <w:rPr>
          <w:rFonts w:cs="Arial"/>
          <w:b/>
        </w:rPr>
      </w:pPr>
      <w:r w:rsidRPr="00584FB9">
        <w:rPr>
          <w:rFonts w:cs="Arial"/>
          <w:b/>
        </w:rPr>
        <w:t xml:space="preserve">Name </w:t>
      </w:r>
      <w:r w:rsidR="00E35DEB" w:rsidRPr="00584FB9">
        <w:rPr>
          <w:rFonts w:cs="Arial"/>
          <w:b/>
        </w:rPr>
        <w:t>and institution (including the names of any partners in the project)</w:t>
      </w:r>
    </w:p>
    <w:p w:rsidR="000613D1" w:rsidRDefault="000613D1" w:rsidP="0067421B">
      <w:pPr>
        <w:pStyle w:val="ColourfulList-Accent11"/>
        <w:spacing w:line="360" w:lineRule="auto"/>
        <w:ind w:left="0"/>
        <w:rPr>
          <w:rFonts w:cs="Arial"/>
        </w:rPr>
      </w:pPr>
    </w:p>
    <w:p w:rsidR="0067421B" w:rsidRDefault="00A34064" w:rsidP="0067421B">
      <w:pPr>
        <w:pStyle w:val="ColourfulList-Accent11"/>
        <w:spacing w:line="360" w:lineRule="auto"/>
        <w:ind w:left="0"/>
        <w:rPr>
          <w:rFonts w:cs="Arial"/>
        </w:rPr>
      </w:pPr>
      <w:r>
        <w:rPr>
          <w:rFonts w:cs="Arial"/>
        </w:rPr>
        <w:t>Dr Diane Nutt</w:t>
      </w:r>
      <w:r w:rsidR="005D3162">
        <w:rPr>
          <w:rFonts w:cs="Arial"/>
        </w:rPr>
        <w:t xml:space="preserve"> PFHEA </w:t>
      </w:r>
      <w:r>
        <w:rPr>
          <w:rFonts w:cs="Arial"/>
        </w:rPr>
        <w:t xml:space="preserve"> </w:t>
      </w:r>
      <w:hyperlink r:id="rId8" w:history="1">
        <w:r w:rsidRPr="00373D7F">
          <w:rPr>
            <w:rStyle w:val="Hyperlink"/>
            <w:rFonts w:cs="Arial"/>
          </w:rPr>
          <w:t>dianenutt@outlook.com</w:t>
        </w:r>
      </w:hyperlink>
      <w:r w:rsidR="0067421B">
        <w:rPr>
          <w:rFonts w:cs="Arial"/>
        </w:rPr>
        <w:t xml:space="preserve"> </w:t>
      </w:r>
      <w:r>
        <w:rPr>
          <w:rFonts w:cs="Arial"/>
        </w:rPr>
        <w:t xml:space="preserve"> </w:t>
      </w:r>
    </w:p>
    <w:p w:rsidR="00584FB9" w:rsidRDefault="00A34064" w:rsidP="0067421B">
      <w:pPr>
        <w:pStyle w:val="ColourfulList-Accent11"/>
        <w:spacing w:line="360" w:lineRule="auto"/>
        <w:ind w:left="0"/>
        <w:rPr>
          <w:rFonts w:cs="Arial"/>
        </w:rPr>
      </w:pPr>
      <w:r>
        <w:rPr>
          <w:rFonts w:cs="Arial"/>
        </w:rPr>
        <w:t>Independent Consultant</w:t>
      </w:r>
      <w:r w:rsidR="005D3162">
        <w:rPr>
          <w:rFonts w:cs="Arial"/>
        </w:rPr>
        <w:t xml:space="preserve">, </w:t>
      </w:r>
      <w:r w:rsidR="0067421B">
        <w:rPr>
          <w:rFonts w:cs="Arial"/>
        </w:rPr>
        <w:t>and C</w:t>
      </w:r>
      <w:r w:rsidR="0032486D">
        <w:rPr>
          <w:rFonts w:cs="Arial"/>
        </w:rPr>
        <w:t>hair of the European First Year Experience Conference Organising Committee and the Network (EFYEN)</w:t>
      </w:r>
    </w:p>
    <w:p w:rsidR="00A26DF7" w:rsidRDefault="00A26DF7" w:rsidP="00A34064">
      <w:pPr>
        <w:pStyle w:val="ColourfulList-Accent11"/>
        <w:spacing w:line="360" w:lineRule="auto"/>
        <w:ind w:left="0"/>
        <w:rPr>
          <w:rFonts w:cs="Arial"/>
        </w:rPr>
      </w:pPr>
    </w:p>
    <w:p w:rsidR="00234C1E" w:rsidRDefault="00A34064" w:rsidP="00A34064">
      <w:pPr>
        <w:pStyle w:val="ColourfulList-Accent11"/>
        <w:spacing w:line="360" w:lineRule="auto"/>
        <w:ind w:left="0"/>
        <w:rPr>
          <w:rFonts w:cs="Arial"/>
        </w:rPr>
      </w:pPr>
      <w:r>
        <w:rPr>
          <w:rFonts w:cs="Arial"/>
        </w:rPr>
        <w:t>This project was supported by the European First Year Experience Conference Organising Committee</w:t>
      </w:r>
      <w:r w:rsidR="00323CA7">
        <w:rPr>
          <w:rFonts w:cs="Arial"/>
        </w:rPr>
        <w:t>, who acted as the project team, reviewing the survey for national differences, helping identify respondents, and commenting on initial findings.</w:t>
      </w:r>
      <w:r w:rsidR="00234C1E">
        <w:rPr>
          <w:rFonts w:cs="Arial"/>
        </w:rPr>
        <w:t xml:space="preserve"> </w:t>
      </w:r>
    </w:p>
    <w:p w:rsidR="00A34064" w:rsidRDefault="0095195F" w:rsidP="00A34064">
      <w:pPr>
        <w:pStyle w:val="ColourfulList-Accent11"/>
        <w:spacing w:line="360" w:lineRule="auto"/>
        <w:ind w:left="0"/>
        <w:rPr>
          <w:rFonts w:cs="Arial"/>
        </w:rPr>
      </w:pPr>
      <w:r>
        <w:rPr>
          <w:rFonts w:cs="Arial"/>
        </w:rPr>
        <w:t>Pieterjan</w:t>
      </w:r>
      <w:r w:rsidR="00B23A44">
        <w:rPr>
          <w:rFonts w:cs="Arial"/>
        </w:rPr>
        <w:t xml:space="preserve"> Bonne, </w:t>
      </w:r>
      <w:r w:rsidR="00B23A44">
        <w:rPr>
          <w:rFonts w:cs="Arial"/>
          <w:lang w:bidi="en-US"/>
        </w:rPr>
        <w:t>Artevelde H</w:t>
      </w:r>
      <w:r w:rsidR="00B23A44" w:rsidRPr="00B23A44">
        <w:rPr>
          <w:rFonts w:cs="Arial"/>
          <w:lang w:bidi="en-US"/>
        </w:rPr>
        <w:t>ogeschool</w:t>
      </w:r>
      <w:r w:rsidR="00B23A44">
        <w:rPr>
          <w:rFonts w:cs="Arial"/>
        </w:rPr>
        <w:t xml:space="preserve">, Belgium </w:t>
      </w:r>
    </w:p>
    <w:p w:rsidR="0095195F" w:rsidRDefault="0095195F" w:rsidP="00A34064">
      <w:pPr>
        <w:pStyle w:val="ColourfulList-Accent11"/>
        <w:spacing w:line="360" w:lineRule="auto"/>
        <w:ind w:left="0"/>
        <w:rPr>
          <w:rFonts w:cs="Arial"/>
        </w:rPr>
      </w:pPr>
      <w:r>
        <w:rPr>
          <w:rFonts w:cs="Arial"/>
        </w:rPr>
        <w:t>William Carey</w:t>
      </w:r>
      <w:r w:rsidR="00B23A44">
        <w:rPr>
          <w:rFonts w:cs="Arial"/>
        </w:rPr>
        <w:t>, Manchester University, UK</w:t>
      </w:r>
    </w:p>
    <w:p w:rsidR="0095195F" w:rsidRDefault="0095195F" w:rsidP="00A34064">
      <w:pPr>
        <w:pStyle w:val="ColourfulList-Accent11"/>
        <w:spacing w:line="360" w:lineRule="auto"/>
        <w:ind w:left="0"/>
        <w:rPr>
          <w:rFonts w:cs="Arial"/>
        </w:rPr>
      </w:pPr>
      <w:r>
        <w:rPr>
          <w:rFonts w:cs="Arial"/>
        </w:rPr>
        <w:t>Ed Foster</w:t>
      </w:r>
      <w:r w:rsidR="00B23A44">
        <w:rPr>
          <w:rFonts w:cs="Arial"/>
        </w:rPr>
        <w:t>, Nottingham Trent University, UK</w:t>
      </w:r>
    </w:p>
    <w:p w:rsidR="0095195F" w:rsidRDefault="004A0B2E" w:rsidP="00A34064">
      <w:pPr>
        <w:pStyle w:val="ColourfulList-Accent11"/>
        <w:spacing w:line="360" w:lineRule="auto"/>
        <w:ind w:left="0"/>
        <w:rPr>
          <w:rFonts w:cs="Arial"/>
        </w:rPr>
      </w:pPr>
      <w:r>
        <w:rPr>
          <w:rFonts w:cs="Arial"/>
        </w:rPr>
        <w:t>Erkki Harko</w:t>
      </w:r>
      <w:r w:rsidR="0095195F">
        <w:rPr>
          <w:rFonts w:cs="Arial"/>
        </w:rPr>
        <w:t>nen</w:t>
      </w:r>
      <w:r w:rsidR="00B23A44">
        <w:rPr>
          <w:rFonts w:cs="Arial"/>
        </w:rPr>
        <w:t>, Turku University, Finland</w:t>
      </w:r>
    </w:p>
    <w:p w:rsidR="00B23A44" w:rsidRDefault="00650670" w:rsidP="00A34064">
      <w:pPr>
        <w:pStyle w:val="ColourfulList-Accent11"/>
        <w:spacing w:line="360" w:lineRule="auto"/>
        <w:ind w:left="0"/>
        <w:rPr>
          <w:rFonts w:cs="Arial"/>
        </w:rPr>
      </w:pPr>
      <w:r>
        <w:rPr>
          <w:rFonts w:cs="Arial"/>
        </w:rPr>
        <w:t>Ellen Jansen</w:t>
      </w:r>
      <w:r w:rsidR="00B23A44">
        <w:rPr>
          <w:rFonts w:cs="Arial"/>
        </w:rPr>
        <w:t>, Groningen University, Netherlands</w:t>
      </w:r>
      <w:r>
        <w:rPr>
          <w:rFonts w:cs="Arial"/>
        </w:rPr>
        <w:t xml:space="preserve"> </w:t>
      </w:r>
    </w:p>
    <w:p w:rsidR="0095195F" w:rsidRDefault="0095195F" w:rsidP="00A34064">
      <w:pPr>
        <w:pStyle w:val="ColourfulList-Accent11"/>
        <w:spacing w:line="360" w:lineRule="auto"/>
        <w:ind w:left="0"/>
        <w:rPr>
          <w:rFonts w:cs="Arial"/>
        </w:rPr>
      </w:pPr>
      <w:r>
        <w:rPr>
          <w:rFonts w:cs="Arial"/>
        </w:rPr>
        <w:t xml:space="preserve">Harald </w:t>
      </w:r>
      <w:r w:rsidR="00A51F6E">
        <w:rPr>
          <w:rFonts w:cs="Arial"/>
        </w:rPr>
        <w:t xml:space="preserve">Age </w:t>
      </w:r>
      <w:r>
        <w:rPr>
          <w:rFonts w:cs="Arial"/>
        </w:rPr>
        <w:t>Saet</w:t>
      </w:r>
      <w:r w:rsidR="00A51F6E">
        <w:rPr>
          <w:rFonts w:cs="Arial"/>
        </w:rPr>
        <w:t>h</w:t>
      </w:r>
      <w:r>
        <w:rPr>
          <w:rFonts w:cs="Arial"/>
        </w:rPr>
        <w:t>re</w:t>
      </w:r>
      <w:r w:rsidR="00B23A44">
        <w:rPr>
          <w:rFonts w:cs="Arial"/>
        </w:rPr>
        <w:t>, University of Bergen, Norway</w:t>
      </w:r>
    </w:p>
    <w:p w:rsidR="00CB0C29" w:rsidRDefault="00CB0C29" w:rsidP="00A34064">
      <w:pPr>
        <w:pStyle w:val="ColourfulList-Accent11"/>
        <w:spacing w:line="360" w:lineRule="auto"/>
        <w:ind w:left="0"/>
        <w:rPr>
          <w:rFonts w:cs="Arial"/>
        </w:rPr>
      </w:pPr>
      <w:r>
        <w:rPr>
          <w:rFonts w:cs="Arial"/>
        </w:rPr>
        <w:t>Simone Schut</w:t>
      </w:r>
      <w:r w:rsidR="00B23A44">
        <w:rPr>
          <w:rFonts w:cs="Arial"/>
        </w:rPr>
        <w:t>, Utrecht</w:t>
      </w:r>
      <w:r w:rsidR="00A51F6E">
        <w:rPr>
          <w:rFonts w:cs="Arial"/>
        </w:rPr>
        <w:t>University</w:t>
      </w:r>
      <w:r w:rsidR="00B23A44">
        <w:rPr>
          <w:rFonts w:cs="Arial"/>
        </w:rPr>
        <w:t>, Netherlands</w:t>
      </w:r>
      <w:r>
        <w:rPr>
          <w:rFonts w:cs="Arial"/>
        </w:rPr>
        <w:t xml:space="preserve"> </w:t>
      </w:r>
    </w:p>
    <w:p w:rsidR="0095195F" w:rsidRDefault="0095195F" w:rsidP="00A34064">
      <w:pPr>
        <w:pStyle w:val="ColourfulList-Accent11"/>
        <w:spacing w:line="360" w:lineRule="auto"/>
        <w:ind w:left="0"/>
        <w:rPr>
          <w:rFonts w:cs="Arial"/>
        </w:rPr>
      </w:pPr>
      <w:r>
        <w:rPr>
          <w:rFonts w:cs="Arial"/>
        </w:rPr>
        <w:t xml:space="preserve">Herman van de </w:t>
      </w:r>
      <w:r w:rsidR="00B23A44">
        <w:rPr>
          <w:rFonts w:cs="Arial"/>
        </w:rPr>
        <w:t xml:space="preserve">Mosselaer, </w:t>
      </w:r>
      <w:r w:rsidR="00B23A44" w:rsidRPr="00B23A44">
        <w:rPr>
          <w:rFonts w:cs="Arial"/>
          <w:lang w:bidi="en-US"/>
        </w:rPr>
        <w:t>Artesis Plantijn University College</w:t>
      </w:r>
      <w:r w:rsidR="00B23A44">
        <w:rPr>
          <w:rFonts w:cs="Arial"/>
          <w:lang w:bidi="en-US"/>
        </w:rPr>
        <w:t>,</w:t>
      </w:r>
      <w:r w:rsidR="00B23A44" w:rsidRPr="00B23A44">
        <w:rPr>
          <w:rFonts w:cs="Arial"/>
        </w:rPr>
        <w:t xml:space="preserve"> </w:t>
      </w:r>
      <w:r w:rsidR="00B23A44">
        <w:rPr>
          <w:rFonts w:cs="Arial"/>
        </w:rPr>
        <w:t xml:space="preserve">Belgium </w:t>
      </w:r>
    </w:p>
    <w:p w:rsidR="00A26DF7" w:rsidRDefault="00A26DF7" w:rsidP="00A34064">
      <w:pPr>
        <w:pStyle w:val="ColourfulList-Accent11"/>
        <w:spacing w:line="360" w:lineRule="auto"/>
        <w:ind w:left="0"/>
        <w:rPr>
          <w:rFonts w:cs="Arial"/>
        </w:rPr>
      </w:pPr>
    </w:p>
    <w:p w:rsidR="00650670" w:rsidRDefault="000E749C" w:rsidP="00A34064">
      <w:pPr>
        <w:pStyle w:val="ColourfulList-Accent11"/>
        <w:spacing w:line="360" w:lineRule="auto"/>
        <w:ind w:left="0"/>
        <w:rPr>
          <w:rFonts w:cs="Arial"/>
        </w:rPr>
      </w:pPr>
      <w:r>
        <w:rPr>
          <w:rFonts w:cs="Arial"/>
        </w:rPr>
        <w:t xml:space="preserve">And </w:t>
      </w:r>
      <w:r w:rsidR="00650670">
        <w:rPr>
          <w:rFonts w:cs="Arial"/>
        </w:rPr>
        <w:t>Jayne</w:t>
      </w:r>
      <w:r w:rsidR="000309F0">
        <w:rPr>
          <w:rFonts w:cs="Arial"/>
        </w:rPr>
        <w:t xml:space="preserve"> Tidd, Teesside University</w:t>
      </w:r>
      <w:r w:rsidR="00B23A44">
        <w:rPr>
          <w:rFonts w:cs="Arial"/>
        </w:rPr>
        <w:t>, UK</w:t>
      </w:r>
      <w:r w:rsidR="004A7878">
        <w:rPr>
          <w:rFonts w:cs="Arial"/>
        </w:rPr>
        <w:t>,</w:t>
      </w:r>
      <w:r w:rsidR="000309F0">
        <w:rPr>
          <w:rFonts w:cs="Arial"/>
        </w:rPr>
        <w:t xml:space="preserve"> </w:t>
      </w:r>
      <w:r w:rsidR="004A7878">
        <w:rPr>
          <w:rFonts w:cs="Arial"/>
        </w:rPr>
        <w:t>who helped with the research design and analysis.</w:t>
      </w:r>
    </w:p>
    <w:p w:rsidR="00A26DF7" w:rsidRDefault="00A26DF7" w:rsidP="00584FB9">
      <w:pPr>
        <w:pStyle w:val="ColourfulList-Accent11"/>
        <w:spacing w:line="360" w:lineRule="auto"/>
        <w:ind w:left="0"/>
        <w:rPr>
          <w:rFonts w:cs="Arial"/>
          <w:b/>
        </w:rPr>
      </w:pPr>
    </w:p>
    <w:p w:rsidR="00104DA5" w:rsidRPr="00584FB9" w:rsidRDefault="00104DA5" w:rsidP="00584FB9">
      <w:pPr>
        <w:pStyle w:val="ColourfulList-Accent11"/>
        <w:spacing w:line="360" w:lineRule="auto"/>
        <w:ind w:left="0"/>
        <w:rPr>
          <w:rFonts w:cs="Arial"/>
          <w:b/>
        </w:rPr>
      </w:pPr>
      <w:r w:rsidRPr="00584FB9">
        <w:rPr>
          <w:rFonts w:cs="Arial"/>
          <w:b/>
        </w:rPr>
        <w:t>Project title</w:t>
      </w:r>
    </w:p>
    <w:p w:rsidR="00584FB9" w:rsidRDefault="006C32BB" w:rsidP="006C32BB">
      <w:pPr>
        <w:rPr>
          <w:i/>
        </w:rPr>
      </w:pPr>
      <w:r w:rsidRPr="00C45A8C">
        <w:rPr>
          <w:b/>
        </w:rPr>
        <w:t>Academics and Professional Teaching Recognition in Middle and Northern Europe</w:t>
      </w:r>
      <w:r w:rsidRPr="00A07A99">
        <w:rPr>
          <w:b/>
          <w:i/>
        </w:rPr>
        <w:t xml:space="preserve">: </w:t>
      </w:r>
      <w:r w:rsidRPr="006C32BB">
        <w:rPr>
          <w:i/>
        </w:rPr>
        <w:t>a case study approach to understanding and learning from similarities and differences</w:t>
      </w:r>
    </w:p>
    <w:p w:rsidR="00C45A8C" w:rsidRPr="006C32BB" w:rsidRDefault="00C45A8C" w:rsidP="006C32BB">
      <w:pPr>
        <w:rPr>
          <w:i/>
        </w:rPr>
      </w:pPr>
    </w:p>
    <w:p w:rsidR="00104DA5" w:rsidRPr="00584FB9" w:rsidRDefault="00104DA5" w:rsidP="00584FB9">
      <w:pPr>
        <w:pStyle w:val="ColourfulList-Accent11"/>
        <w:spacing w:line="360" w:lineRule="auto"/>
        <w:ind w:left="0"/>
        <w:rPr>
          <w:rFonts w:cs="Arial"/>
          <w:b/>
        </w:rPr>
      </w:pPr>
      <w:r w:rsidRPr="00584FB9">
        <w:rPr>
          <w:rFonts w:cs="Arial"/>
          <w:b/>
        </w:rPr>
        <w:t>Why did you choose the project?</w:t>
      </w:r>
    </w:p>
    <w:p w:rsidR="004A7878" w:rsidRDefault="004A7878" w:rsidP="004A7878">
      <w:pPr>
        <w:pStyle w:val="NoSpacing"/>
        <w:spacing w:before="0" w:line="360" w:lineRule="auto"/>
        <w:rPr>
          <w:rFonts w:cs="Arial"/>
        </w:rPr>
      </w:pPr>
      <w:r>
        <w:rPr>
          <w:rFonts w:cs="Arial"/>
        </w:rPr>
        <w:t xml:space="preserve">The idea of professional teaching recognition has been much discussed in the UK over the last 10 years and has become part of the everyday practice for educational </w:t>
      </w:r>
      <w:r>
        <w:rPr>
          <w:rFonts w:cs="Arial"/>
        </w:rPr>
        <w:lastRenderedPageBreak/>
        <w:t>developers in UK Universities. However, as chair of the European First Year Experience (EFYE) Conference Organising Committee and EFYE Network, I often work with academics and educational developers from outside the UK</w:t>
      </w:r>
      <w:r w:rsidR="00545448">
        <w:rPr>
          <w:rFonts w:cs="Arial"/>
        </w:rPr>
        <w:t>, and debates in this wider cont</w:t>
      </w:r>
      <w:r w:rsidR="0067421B">
        <w:rPr>
          <w:rFonts w:cs="Arial"/>
        </w:rPr>
        <w:t>ext have been somewhat less established</w:t>
      </w:r>
      <w:r>
        <w:rPr>
          <w:rFonts w:cs="Arial"/>
        </w:rPr>
        <w:t xml:space="preserve">. </w:t>
      </w:r>
    </w:p>
    <w:p w:rsidR="004A7878" w:rsidRDefault="004A7878" w:rsidP="004A7878">
      <w:pPr>
        <w:pStyle w:val="NoSpacing"/>
        <w:spacing w:before="0" w:line="360" w:lineRule="auto"/>
        <w:rPr>
          <w:rFonts w:cs="Arial"/>
        </w:rPr>
      </w:pPr>
    </w:p>
    <w:p w:rsidR="00545448" w:rsidRDefault="004A7878" w:rsidP="00A51F6E">
      <w:pPr>
        <w:pStyle w:val="NoSpacing"/>
        <w:spacing w:before="0" w:line="360" w:lineRule="auto"/>
        <w:rPr>
          <w:rFonts w:cs="Arial"/>
        </w:rPr>
      </w:pPr>
      <w:r>
        <w:rPr>
          <w:rFonts w:cs="Arial"/>
        </w:rPr>
        <w:t>For some while</w:t>
      </w:r>
      <w:r w:rsidR="0067421B">
        <w:rPr>
          <w:rFonts w:cs="Arial"/>
        </w:rPr>
        <w:t>,</w:t>
      </w:r>
      <w:r>
        <w:rPr>
          <w:rFonts w:cs="Arial"/>
        </w:rPr>
        <w:t xml:space="preserve"> I had been discussing and exploring the role of academic staff development in embedding good practice in relation to first year experience and students in transition with colleagues globally (I am, for example, on the International Advisory Board for the USA National Resource Center for First Year Experience and Students in Transition). Alongside this I had remained interested in how professional recognition for teaching and supporting learning in HE, now well established in the UK, might be understood and played out in other parts of Europe.   A number of conversations with European colleagues led me to realize that some similar questions were being asked in other middle and northern European countries about these two elements of educational development activity.</w:t>
      </w:r>
    </w:p>
    <w:p w:rsidR="00545448" w:rsidRDefault="00545448" w:rsidP="00A51F6E">
      <w:pPr>
        <w:pStyle w:val="NoSpacing"/>
        <w:spacing w:before="0" w:line="360" w:lineRule="auto"/>
        <w:rPr>
          <w:rFonts w:cs="Arial"/>
        </w:rPr>
      </w:pPr>
    </w:p>
    <w:p w:rsidR="00545448" w:rsidRDefault="00545448" w:rsidP="00A51F6E">
      <w:pPr>
        <w:pStyle w:val="NoSpacing"/>
        <w:spacing w:before="0" w:line="360" w:lineRule="auto"/>
        <w:rPr>
          <w:rFonts w:cs="Arial"/>
        </w:rPr>
      </w:pPr>
      <w:r>
        <w:rPr>
          <w:rFonts w:cs="Arial"/>
        </w:rPr>
        <w:t>In part</w:t>
      </w:r>
      <w:r w:rsidR="0067421B">
        <w:rPr>
          <w:rFonts w:cs="Arial"/>
        </w:rPr>
        <w:t>,</w:t>
      </w:r>
      <w:r>
        <w:rPr>
          <w:rFonts w:cs="Arial"/>
        </w:rPr>
        <w:t xml:space="preserve"> this interest in other parts of Europe seemed to be coming from a number of policy agendas. </w:t>
      </w:r>
      <w:r w:rsidR="004A7878" w:rsidRPr="006174EF">
        <w:rPr>
          <w:rFonts w:cs="Arial"/>
        </w:rPr>
        <w:t xml:space="preserve"> According to a European Science Foundation position paper on ‘The Professionalisation of Academics as Teachers in Higher Education’, Ireland, Nordic Countries, Belgium and the Net</w:t>
      </w:r>
      <w:r w:rsidR="004A7878">
        <w:rPr>
          <w:rFonts w:cs="Arial"/>
        </w:rPr>
        <w:t>herlands, along with the UK had</w:t>
      </w:r>
      <w:r w:rsidR="004A7878" w:rsidRPr="006174EF">
        <w:rPr>
          <w:rFonts w:cs="Arial"/>
        </w:rPr>
        <w:t xml:space="preserve"> all had fairly recent “national level policy initiatives” on the professional development of teachers (Pleschova et al, 2012, p.11). Aspects of the Bologna project </w:t>
      </w:r>
      <w:r w:rsidR="004A7878">
        <w:rPr>
          <w:rFonts w:cs="Arial"/>
        </w:rPr>
        <w:t xml:space="preserve">had </w:t>
      </w:r>
      <w:r w:rsidR="004A7878" w:rsidRPr="006174EF">
        <w:rPr>
          <w:rFonts w:cs="Arial"/>
        </w:rPr>
        <w:t>also highlighted the role of HE teachers</w:t>
      </w:r>
      <w:r w:rsidR="004A7878">
        <w:rPr>
          <w:rFonts w:cs="Arial"/>
        </w:rPr>
        <w:t>, developing academics to use learning centred-teaching, and the</w:t>
      </w:r>
      <w:r w:rsidR="004A7878" w:rsidRPr="006174EF">
        <w:rPr>
          <w:rFonts w:cs="Arial"/>
        </w:rPr>
        <w:t xml:space="preserve"> impact </w:t>
      </w:r>
      <w:r w:rsidR="004A7878">
        <w:rPr>
          <w:rFonts w:cs="Arial"/>
        </w:rPr>
        <w:t xml:space="preserve">of lecturers </w:t>
      </w:r>
      <w:r w:rsidR="004A7878" w:rsidRPr="006174EF">
        <w:rPr>
          <w:rFonts w:cs="Arial"/>
        </w:rPr>
        <w:t>on learning tran</w:t>
      </w:r>
      <w:r w:rsidR="004A7878">
        <w:rPr>
          <w:rFonts w:cs="Arial"/>
        </w:rPr>
        <w:t xml:space="preserve">sitions. National statements were being made in some of these countries about commitments to enhancing the quality of teaching, e.g. in Norway in 2016, the education minister promised that improvements to the quality of teaching at university would be ‘a cornerstone of the government education programme.’ (Myklebust, 2016). </w:t>
      </w:r>
    </w:p>
    <w:p w:rsidR="00545448" w:rsidRDefault="00545448" w:rsidP="00A51F6E">
      <w:pPr>
        <w:pStyle w:val="NoSpacing"/>
        <w:spacing w:before="0" w:line="360" w:lineRule="auto"/>
        <w:rPr>
          <w:rFonts w:cs="Arial"/>
        </w:rPr>
      </w:pPr>
    </w:p>
    <w:p w:rsidR="0067421B" w:rsidRDefault="004A7878" w:rsidP="00545448">
      <w:pPr>
        <w:pStyle w:val="NoSpacing"/>
        <w:spacing w:before="0" w:line="360" w:lineRule="auto"/>
        <w:rPr>
          <w:rFonts w:cs="Arial"/>
        </w:rPr>
      </w:pPr>
      <w:r>
        <w:rPr>
          <w:rFonts w:cs="Arial"/>
        </w:rPr>
        <w:t>But how this</w:t>
      </w:r>
      <w:r w:rsidR="00545448">
        <w:rPr>
          <w:rFonts w:cs="Arial"/>
        </w:rPr>
        <w:t xml:space="preserve"> all</w:t>
      </w:r>
      <w:r>
        <w:rPr>
          <w:rFonts w:cs="Arial"/>
        </w:rPr>
        <w:t xml:space="preserve"> translated</w:t>
      </w:r>
      <w:r w:rsidRPr="006174EF">
        <w:rPr>
          <w:rFonts w:cs="Arial"/>
        </w:rPr>
        <w:t xml:space="preserve"> on the ground for academics and developers in these countries</w:t>
      </w:r>
      <w:r>
        <w:rPr>
          <w:rFonts w:cs="Arial"/>
        </w:rPr>
        <w:t xml:space="preserve"> was perhaps less well understood</w:t>
      </w:r>
      <w:r w:rsidR="00545448">
        <w:rPr>
          <w:rFonts w:cs="Arial"/>
        </w:rPr>
        <w:t xml:space="preserve">, and the colleagues I had spoken to from other countries provided mixed accounts. </w:t>
      </w:r>
    </w:p>
    <w:p w:rsidR="0067421B" w:rsidRDefault="0067421B" w:rsidP="00545448">
      <w:pPr>
        <w:pStyle w:val="NoSpacing"/>
        <w:spacing w:before="0" w:line="360" w:lineRule="auto"/>
        <w:rPr>
          <w:rFonts w:cs="Arial"/>
        </w:rPr>
      </w:pPr>
    </w:p>
    <w:p w:rsidR="00545448" w:rsidRDefault="00545448" w:rsidP="00545448">
      <w:pPr>
        <w:pStyle w:val="NoSpacing"/>
        <w:spacing w:before="0" w:line="360" w:lineRule="auto"/>
        <w:rPr>
          <w:rFonts w:cs="Arial"/>
        </w:rPr>
      </w:pPr>
      <w:r>
        <w:rPr>
          <w:rFonts w:cs="Arial"/>
        </w:rPr>
        <w:lastRenderedPageBreak/>
        <w:t xml:space="preserve">In the light of these conversations, my own areas of interest, and the implications of European policy agendas in this regard, I decided to undertake a case study research project that would look at professional teaching recognition in different European settings alongside investigating what kinds of educational development activities might be in place specifically to support lecturers teaching and supporting first year students and students in transition. </w:t>
      </w:r>
    </w:p>
    <w:p w:rsidR="00A61A80" w:rsidRDefault="00A61A80" w:rsidP="00A51F6E">
      <w:pPr>
        <w:pStyle w:val="NoSpacing"/>
        <w:spacing w:before="0" w:line="360" w:lineRule="auto"/>
        <w:rPr>
          <w:rFonts w:cs="Arial"/>
        </w:rPr>
      </w:pPr>
    </w:p>
    <w:p w:rsidR="006368B6" w:rsidRPr="00545448" w:rsidRDefault="00545448" w:rsidP="00A51F6E">
      <w:pPr>
        <w:pStyle w:val="NoSpacing"/>
        <w:spacing w:before="0" w:line="360" w:lineRule="auto"/>
        <w:rPr>
          <w:rFonts w:cs="Arial"/>
        </w:rPr>
      </w:pPr>
      <w:r>
        <w:rPr>
          <w:rFonts w:cs="Arial"/>
        </w:rPr>
        <w:t xml:space="preserve">The project was developed in </w:t>
      </w:r>
      <w:r w:rsidR="006368B6" w:rsidRPr="00A50C40">
        <w:t>collabo</w:t>
      </w:r>
      <w:r w:rsidR="00B23A44">
        <w:t>ration with the European First Y</w:t>
      </w:r>
      <w:r w:rsidR="006368B6" w:rsidRPr="00A50C40">
        <w:t>ear Experience Conference Organising</w:t>
      </w:r>
      <w:r w:rsidR="00B23A44">
        <w:t xml:space="preserve"> Committee (see partners above</w:t>
      </w:r>
      <w:r w:rsidR="006368B6" w:rsidRPr="00A50C40">
        <w:t>), which has representation from a number of c</w:t>
      </w:r>
      <w:r w:rsidR="00C802D7">
        <w:t>ountries involved</w:t>
      </w:r>
      <w:r w:rsidR="006368B6" w:rsidRPr="00A50C40">
        <w:t xml:space="preserve">. </w:t>
      </w:r>
      <w:r w:rsidR="00C802D7">
        <w:t>As a result I saw the</w:t>
      </w:r>
      <w:r w:rsidR="00B23A44">
        <w:t xml:space="preserve"> project as a genuine European endeavor. It provided an</w:t>
      </w:r>
      <w:r w:rsidR="006368B6" w:rsidRPr="00A50C40">
        <w:t xml:space="preserve"> opportunity to share good practice and learn from each other</w:t>
      </w:r>
      <w:r w:rsidR="006368B6">
        <w:t xml:space="preserve"> across middle and Northern Europe</w:t>
      </w:r>
      <w:r w:rsidR="006368B6" w:rsidRPr="00A50C40">
        <w:t xml:space="preserve"> about educational development. </w:t>
      </w:r>
    </w:p>
    <w:p w:rsidR="00C802D7" w:rsidRDefault="00C802D7" w:rsidP="00A51F6E">
      <w:pPr>
        <w:pStyle w:val="NoSpacing"/>
        <w:spacing w:before="0" w:line="360" w:lineRule="auto"/>
        <w:rPr>
          <w:rFonts w:cs="Arial"/>
        </w:rPr>
      </w:pPr>
    </w:p>
    <w:p w:rsidR="006368B6" w:rsidRDefault="00C802D7" w:rsidP="00A51F6E">
      <w:pPr>
        <w:pStyle w:val="NoSpacing"/>
        <w:spacing w:before="0" w:line="360" w:lineRule="auto"/>
        <w:rPr>
          <w:rFonts w:cs="Arial"/>
        </w:rPr>
      </w:pPr>
      <w:r>
        <w:rPr>
          <w:rFonts w:cs="Arial"/>
        </w:rPr>
        <w:t>T</w:t>
      </w:r>
      <w:r w:rsidR="00B23A44">
        <w:rPr>
          <w:rFonts w:cs="Arial"/>
        </w:rPr>
        <w:t>he Committee a</w:t>
      </w:r>
      <w:r>
        <w:rPr>
          <w:rFonts w:cs="Arial"/>
        </w:rPr>
        <w:t>nd the EFYE C</w:t>
      </w:r>
      <w:r w:rsidR="00B23A44">
        <w:rPr>
          <w:rFonts w:cs="Arial"/>
        </w:rPr>
        <w:t xml:space="preserve">onference provided a source for the research sample, which was </w:t>
      </w:r>
      <w:r w:rsidR="006368B6" w:rsidRPr="006174EF">
        <w:rPr>
          <w:rFonts w:cs="Arial"/>
        </w:rPr>
        <w:t>drawn from universities whic</w:t>
      </w:r>
      <w:r w:rsidR="00545448">
        <w:rPr>
          <w:rFonts w:cs="Arial"/>
        </w:rPr>
        <w:t>h have participated in</w:t>
      </w:r>
      <w:r>
        <w:rPr>
          <w:rFonts w:cs="Arial"/>
        </w:rPr>
        <w:t xml:space="preserve"> EFYE </w:t>
      </w:r>
      <w:r w:rsidR="006368B6" w:rsidRPr="006174EF">
        <w:rPr>
          <w:rFonts w:cs="Arial"/>
        </w:rPr>
        <w:t>Conference</w:t>
      </w:r>
      <w:r w:rsidR="00545448">
        <w:rPr>
          <w:rFonts w:cs="Arial"/>
        </w:rPr>
        <w:t>s</w:t>
      </w:r>
      <w:r w:rsidR="006368B6" w:rsidRPr="006174EF">
        <w:rPr>
          <w:rFonts w:cs="Arial"/>
        </w:rPr>
        <w:t>, and therefore are already engaged with debates about FYE</w:t>
      </w:r>
      <w:r w:rsidR="00B23A44">
        <w:rPr>
          <w:rFonts w:cs="Arial"/>
        </w:rPr>
        <w:t xml:space="preserve">, but </w:t>
      </w:r>
      <w:r w:rsidR="00A51F6E">
        <w:rPr>
          <w:rFonts w:cs="Arial"/>
        </w:rPr>
        <w:t xml:space="preserve">they had </w:t>
      </w:r>
      <w:r w:rsidR="00B23A44">
        <w:rPr>
          <w:rFonts w:cs="Arial"/>
        </w:rPr>
        <w:t>not necessarily considered issues of professional recognition</w:t>
      </w:r>
      <w:r w:rsidR="006368B6" w:rsidRPr="006174EF">
        <w:rPr>
          <w:rFonts w:cs="Arial"/>
        </w:rPr>
        <w:t xml:space="preserve">. </w:t>
      </w:r>
    </w:p>
    <w:p w:rsidR="00584FB9" w:rsidRDefault="00584FB9" w:rsidP="00A51F6E">
      <w:pPr>
        <w:pStyle w:val="ColourfulList-Accent11"/>
        <w:spacing w:line="360" w:lineRule="auto"/>
        <w:ind w:left="360"/>
        <w:rPr>
          <w:rFonts w:cs="Arial"/>
        </w:rPr>
      </w:pPr>
    </w:p>
    <w:p w:rsidR="00104DA5" w:rsidRPr="00584FB9" w:rsidRDefault="00104DA5" w:rsidP="00584FB9">
      <w:pPr>
        <w:pStyle w:val="ColourfulList-Accent11"/>
        <w:spacing w:line="360" w:lineRule="auto"/>
        <w:ind w:left="0"/>
        <w:rPr>
          <w:rFonts w:cs="Arial"/>
          <w:b/>
        </w:rPr>
      </w:pPr>
      <w:r w:rsidRPr="00584FB9">
        <w:rPr>
          <w:rFonts w:cs="Arial"/>
          <w:b/>
        </w:rPr>
        <w:t>What you</w:t>
      </w:r>
      <w:r w:rsidR="00505FD0" w:rsidRPr="00584FB9">
        <w:rPr>
          <w:rFonts w:cs="Arial"/>
          <w:b/>
        </w:rPr>
        <w:t xml:space="preserve"> did and how it was carried out</w:t>
      </w:r>
    </w:p>
    <w:p w:rsidR="00545448" w:rsidRDefault="00545448" w:rsidP="00545448">
      <w:pPr>
        <w:pStyle w:val="NoSpacing"/>
        <w:spacing w:before="0" w:line="360" w:lineRule="auto"/>
        <w:rPr>
          <w:rFonts w:cs="Arial"/>
        </w:rPr>
      </w:pPr>
      <w:r>
        <w:rPr>
          <w:rFonts w:cs="Arial"/>
        </w:rPr>
        <w:t>T</w:t>
      </w:r>
      <w:r w:rsidRPr="006174EF">
        <w:rPr>
          <w:rFonts w:cs="Arial"/>
        </w:rPr>
        <w:t xml:space="preserve">he aim of this project </w:t>
      </w:r>
      <w:r>
        <w:rPr>
          <w:rFonts w:cs="Arial"/>
        </w:rPr>
        <w:t>was</w:t>
      </w:r>
      <w:r w:rsidRPr="006174EF">
        <w:rPr>
          <w:rFonts w:cs="Arial"/>
        </w:rPr>
        <w:t xml:space="preserve"> to compare staff development approaches and routes to recognition for lecturers in HE across a number of countries in mid and Northern Europe. The broader intention </w:t>
      </w:r>
      <w:r>
        <w:rPr>
          <w:rFonts w:cs="Arial"/>
        </w:rPr>
        <w:t>was also to</w:t>
      </w:r>
      <w:r w:rsidRPr="006174EF">
        <w:rPr>
          <w:rFonts w:cs="Arial"/>
        </w:rPr>
        <w:t xml:space="preserve"> identify good practice, and to explore what academic development for HE teaching might look like in different contexts</w:t>
      </w:r>
      <w:r>
        <w:rPr>
          <w:rFonts w:cs="Arial"/>
        </w:rPr>
        <w:t>.</w:t>
      </w:r>
    </w:p>
    <w:p w:rsidR="00FC0E32" w:rsidRDefault="00FC0E32" w:rsidP="00545448">
      <w:pPr>
        <w:pStyle w:val="NoSpacing"/>
        <w:spacing w:before="0" w:line="360" w:lineRule="auto"/>
        <w:rPr>
          <w:rFonts w:cs="Arial"/>
        </w:rPr>
      </w:pPr>
    </w:p>
    <w:p w:rsidR="00FC0E32" w:rsidRDefault="00FC0E32" w:rsidP="00545448">
      <w:pPr>
        <w:pStyle w:val="NoSpacing"/>
        <w:spacing w:before="0" w:line="360" w:lineRule="auto"/>
        <w:rPr>
          <w:rFonts w:cs="Arial"/>
        </w:rPr>
      </w:pPr>
      <w:r>
        <w:rPr>
          <w:rFonts w:cs="Arial"/>
        </w:rPr>
        <w:t xml:space="preserve">The project involved mixed methods, but used a case study approach. A short online survey was distributed to institutions across middle and Northern Europe, case study respondents were identified through the survey, and interviews were completed via Skype with two members of staff from each of the case study institutions (one member of academic staff who had participated in </w:t>
      </w:r>
      <w:r w:rsidR="0067421B">
        <w:rPr>
          <w:rFonts w:cs="Arial"/>
        </w:rPr>
        <w:t>educational development</w:t>
      </w:r>
      <w:r>
        <w:rPr>
          <w:rFonts w:cs="Arial"/>
        </w:rPr>
        <w:t xml:space="preserve"> </w:t>
      </w:r>
      <w:r w:rsidR="0067421B">
        <w:rPr>
          <w:rFonts w:cs="Arial"/>
        </w:rPr>
        <w:t>and an educational developer). The c</w:t>
      </w:r>
      <w:r>
        <w:rPr>
          <w:rFonts w:cs="Arial"/>
        </w:rPr>
        <w:t xml:space="preserve">ase study institutions also provided relevant institutional documentation. </w:t>
      </w:r>
    </w:p>
    <w:p w:rsidR="00545448" w:rsidRDefault="00545448" w:rsidP="00545448">
      <w:pPr>
        <w:pStyle w:val="NoSpacing"/>
        <w:spacing w:before="0" w:line="360" w:lineRule="auto"/>
        <w:rPr>
          <w:rFonts w:cs="Arial"/>
        </w:rPr>
      </w:pPr>
    </w:p>
    <w:p w:rsidR="00FC0E32" w:rsidRPr="00FC0E32" w:rsidRDefault="00FC0E32" w:rsidP="00FC0E32">
      <w:pPr>
        <w:pStyle w:val="NoSpacing"/>
        <w:spacing w:line="360" w:lineRule="auto"/>
        <w:rPr>
          <w:rFonts w:cs="Arial"/>
          <w:lang w:val="en-GB"/>
        </w:rPr>
      </w:pPr>
      <w:r>
        <w:rPr>
          <w:rFonts w:cs="Arial"/>
          <w:lang w:val="en-GB"/>
        </w:rPr>
        <w:lastRenderedPageBreak/>
        <w:t xml:space="preserve">The survey was developed in, and distributed using, </w:t>
      </w:r>
      <w:r w:rsidRPr="00FC0E32">
        <w:rPr>
          <w:rFonts w:cs="Arial"/>
          <w:lang w:val="en-GB"/>
        </w:rPr>
        <w:t>Bristol Online Surveys</w:t>
      </w:r>
      <w:r>
        <w:rPr>
          <w:rFonts w:cs="Arial"/>
          <w:lang w:val="en-GB"/>
        </w:rPr>
        <w:t xml:space="preserve">. The aim of the survey was to gather </w:t>
      </w:r>
      <w:r w:rsidRPr="00FC0E32">
        <w:rPr>
          <w:rFonts w:cs="Arial"/>
          <w:lang w:val="en-GB"/>
        </w:rPr>
        <w:t xml:space="preserve">specific information on understandings of professional recognition for lecturers and some information on relevant academic/teaching staff development activities. The survey was tested by readers in Finland, Norway, the Netherlands, Belgium and the U.K and adapted to ensure the language was transferable to different national settings. It was also piloted by two different non U.K. institutions. </w:t>
      </w:r>
    </w:p>
    <w:p w:rsidR="00FC0E32" w:rsidRPr="00FC0E32" w:rsidRDefault="00FC0E32" w:rsidP="00FC0E32">
      <w:pPr>
        <w:pStyle w:val="NoSpacing"/>
        <w:spacing w:line="360" w:lineRule="auto"/>
        <w:rPr>
          <w:rFonts w:cs="Arial"/>
          <w:lang w:val="en-GB"/>
        </w:rPr>
      </w:pPr>
      <w:r>
        <w:rPr>
          <w:rFonts w:cs="Arial"/>
          <w:lang w:val="en-GB"/>
        </w:rPr>
        <w:t>The survey was</w:t>
      </w:r>
      <w:r w:rsidRPr="00FC0E32">
        <w:rPr>
          <w:rFonts w:cs="Arial"/>
          <w:lang w:val="en-GB"/>
        </w:rPr>
        <w:t xml:space="preserve"> shared across a number of HE institutions in each of the following countries: Belgium, Denmark, Finland, Germany, Netherlands, Norway, S</w:t>
      </w:r>
      <w:r>
        <w:rPr>
          <w:rFonts w:cs="Arial"/>
          <w:lang w:val="en-GB"/>
        </w:rPr>
        <w:t xml:space="preserve">weden and the UK. Responses were </w:t>
      </w:r>
      <w:r w:rsidRPr="00FC0E32">
        <w:rPr>
          <w:rFonts w:cs="Arial"/>
          <w:lang w:val="en-GB"/>
        </w:rPr>
        <w:t xml:space="preserve">received from </w:t>
      </w:r>
      <w:r>
        <w:rPr>
          <w:rFonts w:cs="Arial"/>
          <w:lang w:val="en-GB"/>
        </w:rPr>
        <w:t>7 of these 8 countries</w:t>
      </w:r>
      <w:r w:rsidRPr="00FC0E32">
        <w:rPr>
          <w:rFonts w:cs="Arial"/>
          <w:lang w:val="en-GB"/>
        </w:rPr>
        <w:t xml:space="preserve">. </w:t>
      </w:r>
    </w:p>
    <w:p w:rsidR="00FC0E32" w:rsidRPr="00FC0E32" w:rsidRDefault="00FC0E32" w:rsidP="00FC0E32">
      <w:pPr>
        <w:pStyle w:val="NoSpacing"/>
        <w:spacing w:line="360" w:lineRule="auto"/>
        <w:rPr>
          <w:rFonts w:cs="Arial"/>
          <w:lang w:val="en-GB"/>
        </w:rPr>
      </w:pPr>
      <w:r w:rsidRPr="00FC0E32">
        <w:rPr>
          <w:rFonts w:cs="Arial"/>
          <w:lang w:val="en-GB"/>
        </w:rPr>
        <w:t>5 institutions across 5 countries</w:t>
      </w:r>
      <w:r w:rsidR="0067421B">
        <w:rPr>
          <w:rFonts w:cs="Arial"/>
          <w:lang w:val="en-GB"/>
        </w:rPr>
        <w:t xml:space="preserve"> were identified</w:t>
      </w:r>
      <w:r w:rsidRPr="00FC0E32">
        <w:rPr>
          <w:rFonts w:cs="Arial"/>
          <w:lang w:val="en-GB"/>
        </w:rPr>
        <w:t xml:space="preserve"> for th</w:t>
      </w:r>
      <w:r w:rsidR="0067421B">
        <w:rPr>
          <w:rFonts w:cs="Arial"/>
          <w:lang w:val="en-GB"/>
        </w:rPr>
        <w:t>e case study interviews: Belgium, Denmark, Finland, Netherlands, and the UK. The</w:t>
      </w:r>
      <w:r w:rsidRPr="00FC0E32">
        <w:rPr>
          <w:rFonts w:cs="Arial"/>
          <w:lang w:val="en-GB"/>
        </w:rPr>
        <w:t xml:space="preserve"> interview </w:t>
      </w:r>
      <w:r w:rsidR="0067421B">
        <w:rPr>
          <w:rFonts w:cs="Arial"/>
          <w:lang w:val="en-GB"/>
        </w:rPr>
        <w:t xml:space="preserve">design was semi-structured and </w:t>
      </w:r>
      <w:r w:rsidRPr="00FC0E32">
        <w:rPr>
          <w:rFonts w:cs="Arial"/>
          <w:lang w:val="en-GB"/>
        </w:rPr>
        <w:t xml:space="preserve">shaped by the literature and the survey data. </w:t>
      </w:r>
      <w:r w:rsidR="0067421B">
        <w:rPr>
          <w:rFonts w:cs="Arial"/>
          <w:lang w:val="en-GB"/>
        </w:rPr>
        <w:t>Consent forms were signed by all participants.</w:t>
      </w:r>
    </w:p>
    <w:p w:rsidR="00545448" w:rsidRPr="005D3162" w:rsidRDefault="0067421B" w:rsidP="005D3162">
      <w:pPr>
        <w:pStyle w:val="NoSpacing"/>
        <w:spacing w:line="360" w:lineRule="auto"/>
        <w:rPr>
          <w:rFonts w:cs="Arial"/>
          <w:lang w:val="en-GB"/>
        </w:rPr>
      </w:pPr>
      <w:r>
        <w:rPr>
          <w:rFonts w:cs="Arial"/>
          <w:lang w:val="en-GB"/>
        </w:rPr>
        <w:t xml:space="preserve">Analysis was undertaken using a thematic approach. Themes were drawn from the literature, the survey data and the interviews. </w:t>
      </w:r>
    </w:p>
    <w:p w:rsidR="00C357D6" w:rsidRDefault="00C357D6" w:rsidP="0067421B">
      <w:pPr>
        <w:pStyle w:val="ColourfulList-Accent11"/>
        <w:spacing w:line="360" w:lineRule="auto"/>
        <w:ind w:left="0"/>
        <w:rPr>
          <w:rFonts w:cs="Arial"/>
        </w:rPr>
      </w:pPr>
    </w:p>
    <w:p w:rsidR="00410D26" w:rsidRDefault="00104DA5" w:rsidP="00410D26">
      <w:pPr>
        <w:pStyle w:val="ColourfulList-Accent11"/>
        <w:spacing w:line="360" w:lineRule="auto"/>
        <w:ind w:left="0"/>
        <w:rPr>
          <w:rFonts w:cs="Arial"/>
          <w:b/>
        </w:rPr>
      </w:pPr>
      <w:r w:rsidRPr="00584FB9">
        <w:rPr>
          <w:rFonts w:cs="Arial"/>
          <w:b/>
        </w:rPr>
        <w:t>What have you learnt from doing this work?</w:t>
      </w:r>
    </w:p>
    <w:p w:rsidR="00410D26" w:rsidRDefault="00410D26" w:rsidP="00410D26">
      <w:pPr>
        <w:pStyle w:val="ColourfulList-Accent11"/>
        <w:spacing w:line="360" w:lineRule="auto"/>
        <w:ind w:left="0"/>
        <w:rPr>
          <w:rFonts w:cs="Arial"/>
          <w:b/>
        </w:rPr>
      </w:pPr>
      <w:r>
        <w:rPr>
          <w:rFonts w:cs="Arial"/>
          <w:b/>
        </w:rPr>
        <w:t xml:space="preserve">Findings </w:t>
      </w:r>
    </w:p>
    <w:p w:rsidR="00410D26" w:rsidRPr="001D58F0" w:rsidRDefault="001D58F0" w:rsidP="00410D26">
      <w:pPr>
        <w:pStyle w:val="ColourfulList-Accent11"/>
        <w:spacing w:line="360" w:lineRule="auto"/>
        <w:ind w:left="0"/>
        <w:rPr>
          <w:rFonts w:cs="Arial"/>
          <w:i/>
        </w:rPr>
      </w:pPr>
      <w:r w:rsidRPr="001D58F0">
        <w:rPr>
          <w:rFonts w:cs="Arial"/>
          <w:i/>
        </w:rPr>
        <w:t xml:space="preserve">This is a summary of </w:t>
      </w:r>
      <w:r w:rsidR="00AD6FC3">
        <w:rPr>
          <w:rFonts w:cs="Arial"/>
          <w:i/>
        </w:rPr>
        <w:t xml:space="preserve">the </w:t>
      </w:r>
      <w:r w:rsidRPr="001D58F0">
        <w:rPr>
          <w:rFonts w:cs="Arial"/>
          <w:i/>
        </w:rPr>
        <w:t>key findings. More details of the outcomes of the project will be presented in articles currently in development. S</w:t>
      </w:r>
      <w:r w:rsidR="00410D26" w:rsidRPr="001D58F0">
        <w:rPr>
          <w:rFonts w:cs="Arial"/>
          <w:i/>
        </w:rPr>
        <w:t>ome of thes</w:t>
      </w:r>
      <w:r w:rsidRPr="001D58F0">
        <w:rPr>
          <w:rFonts w:cs="Arial"/>
          <w:i/>
        </w:rPr>
        <w:t>e findings have also been</w:t>
      </w:r>
      <w:r w:rsidR="00410D26" w:rsidRPr="001D58F0">
        <w:rPr>
          <w:rFonts w:cs="Arial"/>
          <w:i/>
        </w:rPr>
        <w:t xml:space="preserve"> discussed in 2 conference papers </w:t>
      </w:r>
      <w:r w:rsidRPr="001D58F0">
        <w:rPr>
          <w:rFonts w:cs="Arial"/>
          <w:i/>
        </w:rPr>
        <w:t>and one</w:t>
      </w:r>
      <w:r w:rsidR="00410D26" w:rsidRPr="001D58F0">
        <w:rPr>
          <w:rFonts w:cs="Arial"/>
          <w:i/>
        </w:rPr>
        <w:t xml:space="preserve"> article</w:t>
      </w:r>
      <w:r w:rsidRPr="001D58F0">
        <w:rPr>
          <w:rFonts w:cs="Arial"/>
          <w:i/>
        </w:rPr>
        <w:t xml:space="preserve"> already</w:t>
      </w:r>
      <w:r w:rsidR="00410D26" w:rsidRPr="001D58F0">
        <w:rPr>
          <w:rFonts w:cs="Arial"/>
          <w:i/>
        </w:rPr>
        <w:t xml:space="preserve"> submitted (see </w:t>
      </w:r>
      <w:r w:rsidR="00C45A8C">
        <w:rPr>
          <w:rFonts w:cs="Arial"/>
          <w:i/>
        </w:rPr>
        <w:t xml:space="preserve">section </w:t>
      </w:r>
      <w:r w:rsidR="00410D26" w:rsidRPr="001D58F0">
        <w:rPr>
          <w:rFonts w:cs="Arial"/>
          <w:i/>
        </w:rPr>
        <w:t xml:space="preserve">below) </w:t>
      </w:r>
    </w:p>
    <w:p w:rsidR="00410D26" w:rsidRPr="00410D26" w:rsidRDefault="00410D26" w:rsidP="00410D26">
      <w:pPr>
        <w:pStyle w:val="ColourfulList-Accent11"/>
        <w:spacing w:line="360" w:lineRule="auto"/>
        <w:ind w:left="0"/>
        <w:rPr>
          <w:rFonts w:cs="Arial"/>
        </w:rPr>
      </w:pPr>
    </w:p>
    <w:p w:rsidR="00C45A8C" w:rsidRDefault="001D58F0" w:rsidP="00AD6FC3">
      <w:pPr>
        <w:pStyle w:val="ColourfulList-Accent11"/>
        <w:spacing w:line="360" w:lineRule="auto"/>
        <w:ind w:left="0"/>
        <w:rPr>
          <w:rFonts w:cs="Arial"/>
        </w:rPr>
      </w:pPr>
      <w:r w:rsidRPr="00410D26">
        <w:rPr>
          <w:rFonts w:cs="Arial"/>
        </w:rPr>
        <w:t>National priorities a</w:t>
      </w:r>
      <w:r>
        <w:rPr>
          <w:rFonts w:cs="Arial"/>
        </w:rPr>
        <w:t>cross Europe are</w:t>
      </w:r>
      <w:r w:rsidRPr="00410D26">
        <w:rPr>
          <w:rFonts w:cs="Arial"/>
        </w:rPr>
        <w:t xml:space="preserve"> creating some push</w:t>
      </w:r>
      <w:r>
        <w:rPr>
          <w:rFonts w:cs="Arial"/>
        </w:rPr>
        <w:t xml:space="preserve"> towards professional teaching recognition</w:t>
      </w:r>
      <w:r w:rsidRPr="00410D26">
        <w:rPr>
          <w:rFonts w:cs="Arial"/>
        </w:rPr>
        <w:t>, but are p</w:t>
      </w:r>
      <w:r>
        <w:rPr>
          <w:rFonts w:cs="Arial"/>
        </w:rPr>
        <w:t>roducing quite varied responses, and these can vary at institutional or even department level. While this development is a positive move, it is unclear at this stage how this will impact on</w:t>
      </w:r>
      <w:r w:rsidRPr="00410D26">
        <w:rPr>
          <w:rFonts w:cs="Arial"/>
        </w:rPr>
        <w:t xml:space="preserve"> </w:t>
      </w:r>
      <w:r>
        <w:rPr>
          <w:rFonts w:cs="Arial"/>
        </w:rPr>
        <w:t xml:space="preserve">teaching practice or student </w:t>
      </w:r>
      <w:r w:rsidRPr="00410D26">
        <w:rPr>
          <w:rFonts w:cs="Arial"/>
        </w:rPr>
        <w:t>l</w:t>
      </w:r>
      <w:r>
        <w:rPr>
          <w:rFonts w:cs="Arial"/>
        </w:rPr>
        <w:t>earning experiences</w:t>
      </w:r>
      <w:r w:rsidR="00C45A8C">
        <w:rPr>
          <w:rFonts w:cs="Arial"/>
        </w:rPr>
        <w:t xml:space="preserve"> on the ground</w:t>
      </w:r>
      <w:r>
        <w:rPr>
          <w:rFonts w:cs="Arial"/>
        </w:rPr>
        <w:t xml:space="preserve">. </w:t>
      </w:r>
    </w:p>
    <w:p w:rsidR="00C45A8C" w:rsidRDefault="00C45A8C" w:rsidP="00AD6FC3">
      <w:pPr>
        <w:pStyle w:val="ColourfulList-Accent11"/>
        <w:spacing w:line="360" w:lineRule="auto"/>
        <w:ind w:left="0"/>
        <w:rPr>
          <w:rFonts w:cs="Arial"/>
        </w:rPr>
      </w:pPr>
    </w:p>
    <w:p w:rsidR="00AD6FC3" w:rsidRPr="00AD6FC3" w:rsidRDefault="00AD6FC3" w:rsidP="00AD6FC3">
      <w:pPr>
        <w:pStyle w:val="ColourfulList-Accent11"/>
        <w:spacing w:line="360" w:lineRule="auto"/>
        <w:ind w:left="0"/>
        <w:rPr>
          <w:rFonts w:cs="Arial"/>
        </w:rPr>
      </w:pPr>
      <w:r>
        <w:rPr>
          <w:rFonts w:cs="Arial"/>
        </w:rPr>
        <w:t>However, the case study conversations highlighted the importance of ong</w:t>
      </w:r>
      <w:r w:rsidR="00C45A8C">
        <w:rPr>
          <w:rFonts w:cs="Arial"/>
        </w:rPr>
        <w:t xml:space="preserve">oing development for lecturers, </w:t>
      </w:r>
      <w:r>
        <w:rPr>
          <w:rFonts w:cs="Arial"/>
        </w:rPr>
        <w:t xml:space="preserve">and explored the ways in which they are developing their </w:t>
      </w:r>
      <w:r w:rsidR="00C45A8C">
        <w:rPr>
          <w:rFonts w:cs="Arial"/>
        </w:rPr>
        <w:t xml:space="preserve">professional </w:t>
      </w:r>
      <w:r>
        <w:rPr>
          <w:rFonts w:cs="Arial"/>
        </w:rPr>
        <w:t xml:space="preserve">identities throughout their career, </w:t>
      </w:r>
      <w:r w:rsidR="00C45A8C">
        <w:rPr>
          <w:rFonts w:cs="Arial"/>
        </w:rPr>
        <w:t xml:space="preserve">whether they receive formal recognition or not, </w:t>
      </w:r>
      <w:r>
        <w:rPr>
          <w:rFonts w:cs="Arial"/>
        </w:rPr>
        <w:t xml:space="preserve">as also noted by </w:t>
      </w:r>
      <w:r w:rsidRPr="00AD6FC3">
        <w:rPr>
          <w:rFonts w:cs="Arial"/>
        </w:rPr>
        <w:t>Korhonen and Törmä</w:t>
      </w:r>
      <w:r>
        <w:rPr>
          <w:rFonts w:cs="Arial"/>
        </w:rPr>
        <w:t xml:space="preserve"> (2014) </w:t>
      </w:r>
      <w:r w:rsidRPr="00AD6FC3">
        <w:rPr>
          <w:rFonts w:cs="Arial"/>
          <w:i/>
        </w:rPr>
        <w:t xml:space="preserve">'Professional growth is kept up by constant reflection and reassessment, through which the individual builds her/his role, </w:t>
      </w:r>
      <w:r w:rsidRPr="00AD6FC3">
        <w:rPr>
          <w:rFonts w:cs="Arial"/>
          <w:i/>
        </w:rPr>
        <w:lastRenderedPageBreak/>
        <w:t>fixes goals for changing situations in their career, recognises the necessary development challenges and constructs alternative practices.’</w:t>
      </w:r>
      <w:r w:rsidRPr="00AD6FC3">
        <w:rPr>
          <w:rFonts w:cs="Arial"/>
        </w:rPr>
        <w:t xml:space="preserve"> </w:t>
      </w:r>
      <w:r>
        <w:rPr>
          <w:rFonts w:cs="Arial"/>
        </w:rPr>
        <w:t>(p.</w:t>
      </w:r>
      <w:r w:rsidRPr="00AD6FC3">
        <w:rPr>
          <w:rFonts w:cs="Arial"/>
        </w:rPr>
        <w:t>79)</w:t>
      </w:r>
      <w:r w:rsidR="00C45A8C">
        <w:rPr>
          <w:rFonts w:cs="Arial"/>
        </w:rPr>
        <w:t xml:space="preserve">. Some respondents did speak eloquently about their desire for more formal recognition for their teaching, as well as their research. </w:t>
      </w:r>
      <w:r w:rsidR="00562AE1">
        <w:rPr>
          <w:rFonts w:cs="Arial"/>
        </w:rPr>
        <w:t>There was evidence in the literature too of some innovative examples to supporting teaching agendas in research universities in Northern Europe (e.g. see</w:t>
      </w:r>
      <w:r w:rsidRPr="00AD6FC3">
        <w:rPr>
          <w:rFonts w:cs="Arial"/>
        </w:rPr>
        <w:t xml:space="preserve"> </w:t>
      </w:r>
      <w:r w:rsidR="00562AE1" w:rsidRPr="00410D26">
        <w:t>Pyörälä</w:t>
      </w:r>
      <w:r w:rsidR="00562AE1">
        <w:t>, 2015)</w:t>
      </w:r>
    </w:p>
    <w:p w:rsidR="001D58F0" w:rsidRDefault="001D58F0" w:rsidP="003E754D">
      <w:pPr>
        <w:pStyle w:val="ColourfulList-Accent11"/>
        <w:spacing w:line="360" w:lineRule="auto"/>
        <w:ind w:left="0"/>
        <w:rPr>
          <w:rFonts w:cs="Arial"/>
        </w:rPr>
      </w:pPr>
      <w:r w:rsidRPr="00410D26">
        <w:rPr>
          <w:rFonts w:cs="Arial"/>
        </w:rPr>
        <w:t xml:space="preserve">  </w:t>
      </w:r>
    </w:p>
    <w:p w:rsidR="003C79E3" w:rsidRDefault="003E754D" w:rsidP="003E754D">
      <w:pPr>
        <w:pStyle w:val="ColourfulList-Accent11"/>
        <w:spacing w:line="360" w:lineRule="auto"/>
        <w:ind w:left="0"/>
        <w:rPr>
          <w:rFonts w:cs="Arial"/>
        </w:rPr>
      </w:pPr>
      <w:r>
        <w:rPr>
          <w:rFonts w:cs="Arial"/>
        </w:rPr>
        <w:t xml:space="preserve">Some institutions in some European countries are committed to </w:t>
      </w:r>
      <w:r w:rsidR="00234A8C" w:rsidRPr="00410D26">
        <w:rPr>
          <w:rFonts w:cs="Arial"/>
        </w:rPr>
        <w:t>aligning teaching recognition and reward with research recognition</w:t>
      </w:r>
      <w:r>
        <w:rPr>
          <w:rFonts w:cs="Arial"/>
        </w:rPr>
        <w:t xml:space="preserve"> and reward, but this comes with a number of challenges</w:t>
      </w:r>
      <w:r w:rsidR="00AD6FC3">
        <w:rPr>
          <w:rFonts w:cs="Arial"/>
        </w:rPr>
        <w:t xml:space="preserve">. Some of the academics interviewed, particularly those in research institutions talked about the difficulties with this in practice. </w:t>
      </w:r>
      <w:r w:rsidR="001D58F0">
        <w:rPr>
          <w:rFonts w:cs="Arial"/>
        </w:rPr>
        <w:t xml:space="preserve">(Gunn and Fisk 2013) </w:t>
      </w:r>
    </w:p>
    <w:p w:rsidR="003E754D" w:rsidRPr="00410D26" w:rsidRDefault="003E754D" w:rsidP="003E754D">
      <w:pPr>
        <w:pStyle w:val="ColourfulList-Accent11"/>
        <w:spacing w:line="360" w:lineRule="auto"/>
        <w:ind w:left="0"/>
        <w:rPr>
          <w:rFonts w:cs="Arial"/>
        </w:rPr>
      </w:pPr>
    </w:p>
    <w:p w:rsidR="003C79E3" w:rsidRDefault="00234A8C" w:rsidP="003E754D">
      <w:pPr>
        <w:pStyle w:val="ColourfulList-Accent11"/>
        <w:spacing w:line="360" w:lineRule="auto"/>
        <w:ind w:left="0"/>
        <w:rPr>
          <w:rFonts w:cs="Arial"/>
        </w:rPr>
      </w:pPr>
      <w:r w:rsidRPr="00410D26">
        <w:rPr>
          <w:rFonts w:cs="Arial"/>
        </w:rPr>
        <w:t xml:space="preserve">Excellence in relation to teaching seems to </w:t>
      </w:r>
      <w:r w:rsidR="00AD6FC3">
        <w:rPr>
          <w:rFonts w:cs="Arial"/>
        </w:rPr>
        <w:t xml:space="preserve">be </w:t>
      </w:r>
      <w:r w:rsidRPr="00410D26">
        <w:rPr>
          <w:rFonts w:cs="Arial"/>
        </w:rPr>
        <w:t>translated into notions of ‘good practice’; at least for some respondents in this study</w:t>
      </w:r>
      <w:r w:rsidR="003E754D">
        <w:rPr>
          <w:rFonts w:cs="Arial"/>
        </w:rPr>
        <w:t xml:space="preserve">, </w:t>
      </w:r>
      <w:r w:rsidR="00AD6FC3">
        <w:rPr>
          <w:rFonts w:cs="Arial"/>
        </w:rPr>
        <w:t>when they were asked explicitly about excellence they tended to talk about more ordinary good practice examples (e.g. flipped classroom; getting to know your students; providing real world examples)</w:t>
      </w:r>
      <w:r w:rsidR="00C45A8C">
        <w:rPr>
          <w:rFonts w:cs="Arial"/>
        </w:rPr>
        <w:t>. In general, too,</w:t>
      </w:r>
      <w:r w:rsidR="00AD6FC3">
        <w:rPr>
          <w:rFonts w:cs="Arial"/>
        </w:rPr>
        <w:t xml:space="preserve"> the educational developers in middle and northern Europe</w:t>
      </w:r>
      <w:r w:rsidR="00C45A8C">
        <w:rPr>
          <w:rFonts w:cs="Arial"/>
        </w:rPr>
        <w:t xml:space="preserve"> interviewed in this study</w:t>
      </w:r>
      <w:r w:rsidR="00AD6FC3">
        <w:rPr>
          <w:rFonts w:cs="Arial"/>
        </w:rPr>
        <w:t xml:space="preserve"> seemed to be</w:t>
      </w:r>
      <w:r w:rsidR="003E754D">
        <w:rPr>
          <w:rFonts w:cs="Arial"/>
        </w:rPr>
        <w:t xml:space="preserve"> more interested in ways to support everyday good practice, and found the notion of excellence less helpful</w:t>
      </w:r>
      <w:r w:rsidR="00AD6FC3">
        <w:rPr>
          <w:rFonts w:cs="Arial"/>
        </w:rPr>
        <w:t xml:space="preserve"> for working with staff</w:t>
      </w:r>
      <w:r w:rsidRPr="00410D26">
        <w:rPr>
          <w:rFonts w:cs="Arial"/>
        </w:rPr>
        <w:t>.</w:t>
      </w:r>
    </w:p>
    <w:p w:rsidR="003E754D" w:rsidRPr="00410D26" w:rsidRDefault="003E754D" w:rsidP="003E754D">
      <w:pPr>
        <w:pStyle w:val="ColourfulList-Accent11"/>
        <w:spacing w:line="360" w:lineRule="auto"/>
        <w:ind w:left="0"/>
        <w:rPr>
          <w:rFonts w:cs="Arial"/>
        </w:rPr>
      </w:pPr>
    </w:p>
    <w:p w:rsidR="003E754D" w:rsidRPr="00410D26" w:rsidRDefault="003E754D" w:rsidP="003E754D">
      <w:pPr>
        <w:pStyle w:val="ColourfulList-Accent11"/>
        <w:spacing w:line="360" w:lineRule="auto"/>
        <w:ind w:left="0"/>
        <w:rPr>
          <w:rFonts w:cs="Arial"/>
        </w:rPr>
      </w:pPr>
      <w:r>
        <w:rPr>
          <w:rFonts w:cs="Arial"/>
        </w:rPr>
        <w:t>However, e</w:t>
      </w:r>
      <w:r w:rsidR="00234A8C" w:rsidRPr="00410D26">
        <w:rPr>
          <w:rFonts w:cs="Arial"/>
        </w:rPr>
        <w:t>xcellent individuals are now recognised in a number of settings</w:t>
      </w:r>
      <w:r>
        <w:rPr>
          <w:rFonts w:cs="Arial"/>
        </w:rPr>
        <w:t xml:space="preserve">. Many middle and Northern European institutions had annual awards for ‘outstanding’ teachers, and these were often chosen by, or with, students. </w:t>
      </w:r>
    </w:p>
    <w:p w:rsidR="00410D26" w:rsidRDefault="00410D26" w:rsidP="00410D26">
      <w:pPr>
        <w:pStyle w:val="ColourfulList-Accent11"/>
        <w:spacing w:line="360" w:lineRule="auto"/>
        <w:ind w:left="0"/>
        <w:rPr>
          <w:rFonts w:cs="Arial"/>
        </w:rPr>
      </w:pPr>
    </w:p>
    <w:p w:rsidR="003C79E3" w:rsidRPr="00410D26" w:rsidRDefault="00234A8C" w:rsidP="00410D26">
      <w:pPr>
        <w:pStyle w:val="ColourfulList-Accent11"/>
        <w:spacing w:line="360" w:lineRule="auto"/>
        <w:ind w:left="0"/>
        <w:rPr>
          <w:rFonts w:cs="Arial"/>
        </w:rPr>
      </w:pPr>
      <w:r w:rsidRPr="00410D26">
        <w:rPr>
          <w:rFonts w:cs="Arial"/>
        </w:rPr>
        <w:t>A range of support and development activities are provided to help lecturers (particularly those new to teaching) with their HE teaching</w:t>
      </w:r>
      <w:r w:rsidR="003E754D">
        <w:rPr>
          <w:rFonts w:cs="Arial"/>
        </w:rPr>
        <w:t>.</w:t>
      </w:r>
      <w:r w:rsidR="00AD6FC3">
        <w:rPr>
          <w:rFonts w:cs="Arial"/>
        </w:rPr>
        <w:t xml:space="preserve"> </w:t>
      </w:r>
      <w:r w:rsidRPr="00410D26">
        <w:rPr>
          <w:rFonts w:cs="Arial"/>
        </w:rPr>
        <w:t xml:space="preserve">Some countries and some institutions have </w:t>
      </w:r>
      <w:r w:rsidR="00AD6FC3">
        <w:rPr>
          <w:rFonts w:cs="Arial"/>
        </w:rPr>
        <w:t>formal programmes</w:t>
      </w:r>
      <w:r w:rsidR="00562AE1">
        <w:rPr>
          <w:rFonts w:cs="Arial"/>
        </w:rPr>
        <w:t>, including examples with academic credits, although these latter seem very rare outside the UK. Some institutions are currently</w:t>
      </w:r>
      <w:r w:rsidRPr="00410D26">
        <w:rPr>
          <w:rFonts w:cs="Arial"/>
        </w:rPr>
        <w:t xml:space="preserve"> developing formal programmes for lecturers new to teaching</w:t>
      </w:r>
      <w:r w:rsidR="003E754D">
        <w:rPr>
          <w:rFonts w:cs="Arial"/>
        </w:rPr>
        <w:t>.</w:t>
      </w:r>
      <w:r w:rsidR="00AD6FC3">
        <w:rPr>
          <w:rFonts w:cs="Arial"/>
        </w:rPr>
        <w:t xml:space="preserve"> </w:t>
      </w:r>
      <w:r w:rsidRPr="00410D26">
        <w:rPr>
          <w:rFonts w:cs="Arial"/>
        </w:rPr>
        <w:t>Optional development activ</w:t>
      </w:r>
      <w:r w:rsidR="00AD6FC3">
        <w:rPr>
          <w:rFonts w:cs="Arial"/>
        </w:rPr>
        <w:t xml:space="preserve">ities of a variety of kinds were </w:t>
      </w:r>
      <w:r w:rsidRPr="00410D26">
        <w:rPr>
          <w:rFonts w:cs="Arial"/>
        </w:rPr>
        <w:t>common across the research sample – annual events, or local conferences are a popular approach; plus workshops and networks</w:t>
      </w:r>
      <w:r w:rsidR="003E754D">
        <w:rPr>
          <w:rFonts w:cs="Arial"/>
        </w:rPr>
        <w:t>.</w:t>
      </w:r>
    </w:p>
    <w:p w:rsidR="00410D26" w:rsidRPr="00410D26" w:rsidRDefault="00410D26" w:rsidP="00410D26">
      <w:pPr>
        <w:pStyle w:val="ColourfulList-Accent11"/>
        <w:spacing w:line="360" w:lineRule="auto"/>
        <w:ind w:left="0"/>
        <w:rPr>
          <w:rFonts w:cs="Arial"/>
        </w:rPr>
      </w:pPr>
    </w:p>
    <w:p w:rsidR="003C79E3" w:rsidRPr="003E754D" w:rsidRDefault="00234A8C" w:rsidP="00410D26">
      <w:pPr>
        <w:pStyle w:val="ColourfulList-Accent11"/>
        <w:spacing w:line="360" w:lineRule="auto"/>
        <w:ind w:left="0"/>
        <w:rPr>
          <w:rFonts w:cs="Arial"/>
        </w:rPr>
      </w:pPr>
      <w:r w:rsidRPr="00410D26">
        <w:rPr>
          <w:rFonts w:cs="Arial"/>
        </w:rPr>
        <w:t>First year experience and supporting student transitions are not specifically included in s</w:t>
      </w:r>
      <w:r w:rsidR="00562AE1">
        <w:rPr>
          <w:rFonts w:cs="Arial"/>
        </w:rPr>
        <w:t>taff development for lecturers/</w:t>
      </w:r>
      <w:r w:rsidRPr="00410D26">
        <w:rPr>
          <w:rFonts w:cs="Arial"/>
        </w:rPr>
        <w:t xml:space="preserve">HE teachers </w:t>
      </w:r>
      <w:r w:rsidR="003E754D">
        <w:rPr>
          <w:rFonts w:cs="Arial"/>
          <w:bCs/>
          <w:iCs/>
        </w:rPr>
        <w:t xml:space="preserve">in most contexts, although </w:t>
      </w:r>
      <w:r w:rsidR="00AD6FC3">
        <w:rPr>
          <w:rFonts w:cs="Arial"/>
          <w:bCs/>
          <w:iCs/>
        </w:rPr>
        <w:t>there were</w:t>
      </w:r>
      <w:r w:rsidR="003E754D">
        <w:rPr>
          <w:rFonts w:cs="Arial"/>
          <w:bCs/>
          <w:iCs/>
        </w:rPr>
        <w:t xml:space="preserve"> some examples of good practice. </w:t>
      </w:r>
    </w:p>
    <w:p w:rsidR="00410D26" w:rsidRPr="00410D26" w:rsidRDefault="00410D26" w:rsidP="00410D26">
      <w:pPr>
        <w:pStyle w:val="ColourfulList-Accent11"/>
        <w:spacing w:line="360" w:lineRule="auto"/>
        <w:ind w:left="0"/>
        <w:rPr>
          <w:rFonts w:cs="Arial"/>
        </w:rPr>
      </w:pPr>
    </w:p>
    <w:p w:rsidR="001D58F0" w:rsidRDefault="00AD6FC3" w:rsidP="00410D26">
      <w:pPr>
        <w:pStyle w:val="ColourfulList-Accent11"/>
        <w:spacing w:line="360" w:lineRule="auto"/>
        <w:ind w:left="0"/>
        <w:rPr>
          <w:rFonts w:cs="Arial"/>
        </w:rPr>
      </w:pPr>
      <w:r>
        <w:rPr>
          <w:rFonts w:cs="Arial"/>
        </w:rPr>
        <w:t>It was interesting to note that s</w:t>
      </w:r>
      <w:r w:rsidR="00234A8C" w:rsidRPr="00410D26">
        <w:rPr>
          <w:rFonts w:cs="Arial"/>
        </w:rPr>
        <w:t>ome development work</w:t>
      </w:r>
      <w:r>
        <w:rPr>
          <w:rFonts w:cs="Arial"/>
        </w:rPr>
        <w:t>, particularly in relation to specific areas, like FYE or transitions,</w:t>
      </w:r>
      <w:r w:rsidR="00234A8C" w:rsidRPr="00410D26">
        <w:rPr>
          <w:rFonts w:cs="Arial"/>
        </w:rPr>
        <w:t xml:space="preserve"> is done through organisational processe</w:t>
      </w:r>
      <w:r w:rsidR="003E754D">
        <w:rPr>
          <w:rFonts w:cs="Arial"/>
        </w:rPr>
        <w:t xml:space="preserve">s rather than </w:t>
      </w:r>
      <w:r>
        <w:rPr>
          <w:rFonts w:cs="Arial"/>
        </w:rPr>
        <w:t xml:space="preserve">explicit </w:t>
      </w:r>
      <w:r w:rsidR="003E754D">
        <w:rPr>
          <w:rFonts w:cs="Arial"/>
        </w:rPr>
        <w:t>staff developm</w:t>
      </w:r>
      <w:r>
        <w:rPr>
          <w:rFonts w:cs="Arial"/>
        </w:rPr>
        <w:t>ent, so</w:t>
      </w:r>
      <w:r w:rsidR="003E754D">
        <w:rPr>
          <w:rFonts w:cs="Arial"/>
        </w:rPr>
        <w:t xml:space="preserve"> for example </w:t>
      </w:r>
      <w:r>
        <w:rPr>
          <w:rFonts w:cs="Arial"/>
        </w:rPr>
        <w:t xml:space="preserve">respondents mentioned the role of </w:t>
      </w:r>
      <w:r w:rsidR="003E754D">
        <w:rPr>
          <w:rFonts w:cs="Arial"/>
        </w:rPr>
        <w:t xml:space="preserve">working groups and </w:t>
      </w:r>
      <w:r>
        <w:rPr>
          <w:rFonts w:cs="Arial"/>
        </w:rPr>
        <w:t xml:space="preserve">being on </w:t>
      </w:r>
      <w:r w:rsidR="00234A8C" w:rsidRPr="00410D26">
        <w:rPr>
          <w:rFonts w:cs="Arial"/>
        </w:rPr>
        <w:t>organising committee</w:t>
      </w:r>
      <w:r w:rsidR="003E754D">
        <w:rPr>
          <w:rFonts w:cs="Arial"/>
        </w:rPr>
        <w:t>s</w:t>
      </w:r>
      <w:r>
        <w:rPr>
          <w:rFonts w:cs="Arial"/>
        </w:rPr>
        <w:t>,</w:t>
      </w:r>
      <w:r w:rsidR="001D58F0">
        <w:rPr>
          <w:rFonts w:cs="Arial"/>
        </w:rPr>
        <w:t xml:space="preserve"> as well as</w:t>
      </w:r>
      <w:r>
        <w:rPr>
          <w:rFonts w:cs="Arial"/>
        </w:rPr>
        <w:t xml:space="preserve"> identifying situations where</w:t>
      </w:r>
      <w:r w:rsidR="001D58F0">
        <w:rPr>
          <w:rFonts w:cs="Arial"/>
        </w:rPr>
        <w:t xml:space="preserve"> educational developers </w:t>
      </w:r>
      <w:r>
        <w:rPr>
          <w:rFonts w:cs="Arial"/>
        </w:rPr>
        <w:t xml:space="preserve">were </w:t>
      </w:r>
      <w:r w:rsidR="001D58F0">
        <w:rPr>
          <w:rFonts w:cs="Arial"/>
        </w:rPr>
        <w:t xml:space="preserve">working with </w:t>
      </w:r>
      <w:r w:rsidR="00234A8C" w:rsidRPr="00410D26">
        <w:rPr>
          <w:rFonts w:cs="Arial"/>
        </w:rPr>
        <w:t xml:space="preserve">department leads </w:t>
      </w:r>
      <w:r w:rsidR="001D58F0">
        <w:rPr>
          <w:rFonts w:cs="Arial"/>
        </w:rPr>
        <w:t>to support change</w:t>
      </w:r>
      <w:r w:rsidR="00234A8C" w:rsidRPr="00410D26">
        <w:rPr>
          <w:rFonts w:cs="Arial"/>
        </w:rPr>
        <w:t>.</w:t>
      </w:r>
    </w:p>
    <w:p w:rsidR="003C79E3" w:rsidRPr="00410D26" w:rsidRDefault="00234A8C" w:rsidP="00410D26">
      <w:pPr>
        <w:pStyle w:val="ColourfulList-Accent11"/>
        <w:spacing w:line="360" w:lineRule="auto"/>
        <w:ind w:left="0"/>
        <w:rPr>
          <w:rFonts w:cs="Arial"/>
        </w:rPr>
      </w:pPr>
      <w:r w:rsidRPr="00410D26">
        <w:rPr>
          <w:rFonts w:cs="Arial"/>
        </w:rPr>
        <w:t xml:space="preserve"> </w:t>
      </w:r>
    </w:p>
    <w:p w:rsidR="003C79E3" w:rsidRDefault="001D58F0" w:rsidP="001D58F0">
      <w:pPr>
        <w:pStyle w:val="ColourfulList-Accent11"/>
        <w:spacing w:line="360" w:lineRule="auto"/>
        <w:ind w:left="0"/>
        <w:rPr>
          <w:rFonts w:cs="Arial"/>
        </w:rPr>
      </w:pPr>
      <w:r>
        <w:rPr>
          <w:rFonts w:cs="Arial"/>
        </w:rPr>
        <w:t>There was</w:t>
      </w:r>
      <w:r w:rsidR="00234A8C" w:rsidRPr="00410D26">
        <w:rPr>
          <w:rFonts w:cs="Arial"/>
        </w:rPr>
        <w:t xml:space="preserve"> little evidence of the involvement of students in activities designed to develop staff who teach</w:t>
      </w:r>
      <w:r w:rsidR="00562AE1">
        <w:rPr>
          <w:rFonts w:cs="Arial"/>
        </w:rPr>
        <w:t>, apart from one</w:t>
      </w:r>
      <w:r w:rsidR="00AD6FC3">
        <w:rPr>
          <w:rFonts w:cs="Arial"/>
        </w:rPr>
        <w:t xml:space="preserve"> example in the UK</w:t>
      </w:r>
      <w:r w:rsidR="00562AE1">
        <w:rPr>
          <w:rFonts w:cs="Arial"/>
        </w:rPr>
        <w:t xml:space="preserve"> case study</w:t>
      </w:r>
      <w:r w:rsidR="00AD6FC3">
        <w:rPr>
          <w:rFonts w:cs="Arial"/>
        </w:rPr>
        <w:t>, and the role of students in the annual award schemes mentioned above</w:t>
      </w:r>
      <w:r>
        <w:rPr>
          <w:rFonts w:cs="Arial"/>
        </w:rPr>
        <w:t>.</w:t>
      </w:r>
      <w:r w:rsidR="00234A8C" w:rsidRPr="00410D26">
        <w:rPr>
          <w:rFonts w:cs="Arial"/>
        </w:rPr>
        <w:t xml:space="preserve">  </w:t>
      </w:r>
    </w:p>
    <w:p w:rsidR="004702D7" w:rsidRPr="00000E07" w:rsidRDefault="004702D7" w:rsidP="00AD6FC3">
      <w:pPr>
        <w:pStyle w:val="ColourfulList-Accent11"/>
        <w:spacing w:line="360" w:lineRule="auto"/>
        <w:ind w:left="0"/>
        <w:rPr>
          <w:rFonts w:cs="Arial"/>
        </w:rPr>
      </w:pPr>
    </w:p>
    <w:p w:rsidR="00410D26" w:rsidRDefault="00104DA5" w:rsidP="004702D7">
      <w:pPr>
        <w:pStyle w:val="ColourfulList-Accent11"/>
        <w:spacing w:line="360" w:lineRule="auto"/>
        <w:ind w:left="0"/>
        <w:rPr>
          <w:rFonts w:cs="Arial"/>
          <w:b/>
        </w:rPr>
      </w:pPr>
      <w:r w:rsidRPr="004702D7">
        <w:rPr>
          <w:rFonts w:cs="Arial"/>
          <w:b/>
        </w:rPr>
        <w:t>How have you told others about your work?</w:t>
      </w:r>
    </w:p>
    <w:p w:rsidR="0067421B" w:rsidRPr="00410D26" w:rsidRDefault="0067421B" w:rsidP="004702D7">
      <w:pPr>
        <w:pStyle w:val="ColourfulList-Accent11"/>
        <w:spacing w:line="360" w:lineRule="auto"/>
        <w:ind w:left="0"/>
        <w:rPr>
          <w:rFonts w:cs="Arial"/>
          <w:b/>
        </w:rPr>
      </w:pPr>
      <w:r>
        <w:rPr>
          <w:rFonts w:cs="Arial"/>
        </w:rPr>
        <w:t>Two papers have been presented at two conferences</w:t>
      </w:r>
      <w:r w:rsidR="00410D26">
        <w:rPr>
          <w:rFonts w:cs="Arial"/>
        </w:rPr>
        <w:t>, these were</w:t>
      </w:r>
      <w:r>
        <w:rPr>
          <w:rFonts w:cs="Arial"/>
        </w:rPr>
        <w:t>:</w:t>
      </w:r>
    </w:p>
    <w:p w:rsidR="00E451E3" w:rsidRDefault="00E451E3" w:rsidP="00C45A8C">
      <w:pPr>
        <w:pStyle w:val="ColourfulList-Accent11"/>
        <w:spacing w:line="360" w:lineRule="auto"/>
        <w:rPr>
          <w:rFonts w:cs="Arial"/>
          <w:bCs/>
        </w:rPr>
      </w:pPr>
      <w:r w:rsidRPr="00E451E3">
        <w:rPr>
          <w:rFonts w:cs="Arial"/>
          <w:bCs/>
        </w:rPr>
        <w:t>Diane Nutt and Jayne Tidd</w:t>
      </w:r>
      <w:r>
        <w:rPr>
          <w:rFonts w:cs="Arial"/>
          <w:bCs/>
        </w:rPr>
        <w:t xml:space="preserve">, </w:t>
      </w:r>
      <w:r w:rsidR="0067421B" w:rsidRPr="00E451E3">
        <w:rPr>
          <w:rFonts w:cs="Arial"/>
          <w:bCs/>
          <w:i/>
        </w:rPr>
        <w:t>Striving for teaching excellence beyond the UK: what can we learn from middle and northern Europe</w:t>
      </w:r>
      <w:r w:rsidRPr="00E451E3">
        <w:rPr>
          <w:rFonts w:cs="Arial"/>
          <w:bCs/>
        </w:rPr>
        <w:t>, presented at SEDA Spring Conference</w:t>
      </w:r>
      <w:r>
        <w:rPr>
          <w:rFonts w:cs="Arial"/>
          <w:bCs/>
        </w:rPr>
        <w:t>, Manchester</w:t>
      </w:r>
      <w:r w:rsidR="00C45A8C">
        <w:rPr>
          <w:rFonts w:cs="Arial"/>
          <w:bCs/>
        </w:rPr>
        <w:t>,</w:t>
      </w:r>
      <w:r>
        <w:rPr>
          <w:rFonts w:cs="Arial"/>
          <w:bCs/>
        </w:rPr>
        <w:t xml:space="preserve"> March 2017</w:t>
      </w:r>
      <w:r w:rsidR="00C45A8C">
        <w:rPr>
          <w:rFonts w:cs="Arial"/>
          <w:bCs/>
        </w:rPr>
        <w:t>.</w:t>
      </w:r>
    </w:p>
    <w:p w:rsidR="0067421B" w:rsidRDefault="00E451E3" w:rsidP="00C45A8C">
      <w:pPr>
        <w:pStyle w:val="ColourfulList-Accent11"/>
        <w:spacing w:line="360" w:lineRule="auto"/>
        <w:rPr>
          <w:rFonts w:cs="Arial"/>
          <w:bCs/>
        </w:rPr>
      </w:pPr>
      <w:r>
        <w:rPr>
          <w:rFonts w:cs="Arial"/>
          <w:bCs/>
        </w:rPr>
        <w:t>Diane Nutt</w:t>
      </w:r>
      <w:r w:rsidR="00C45A8C">
        <w:rPr>
          <w:rFonts w:cs="Arial"/>
          <w:bCs/>
        </w:rPr>
        <w:t>,</w:t>
      </w:r>
      <w:r>
        <w:rPr>
          <w:rFonts w:cs="Arial"/>
          <w:bCs/>
        </w:rPr>
        <w:t xml:space="preserve"> </w:t>
      </w:r>
      <w:r w:rsidRPr="00E451E3">
        <w:rPr>
          <w:rFonts w:cs="Arial"/>
          <w:bCs/>
          <w:i/>
        </w:rPr>
        <w:t>Developing lecturers to teach and support first year students in middle &amp; Northern Europe: sharing good practice from a case study research project</w:t>
      </w:r>
      <w:r>
        <w:rPr>
          <w:rFonts w:cs="Arial"/>
          <w:bCs/>
        </w:rPr>
        <w:t>, presented at the European First Year Experience Conference, Birmingham City University, Birmingham, June 2017</w:t>
      </w:r>
      <w:r w:rsidR="00C45A8C">
        <w:rPr>
          <w:rFonts w:cs="Arial"/>
          <w:bCs/>
        </w:rPr>
        <w:t>.</w:t>
      </w:r>
      <w:r w:rsidRPr="00E451E3">
        <w:rPr>
          <w:rFonts w:cs="Arial"/>
          <w:bCs/>
        </w:rPr>
        <w:t xml:space="preserve"> </w:t>
      </w:r>
    </w:p>
    <w:p w:rsidR="00410D26" w:rsidRDefault="00410D26" w:rsidP="00E451E3">
      <w:pPr>
        <w:pStyle w:val="ColourfulList-Accent11"/>
        <w:spacing w:line="360" w:lineRule="auto"/>
        <w:ind w:left="0"/>
        <w:rPr>
          <w:rFonts w:cs="Arial"/>
          <w:bCs/>
        </w:rPr>
      </w:pPr>
    </w:p>
    <w:p w:rsidR="00E451E3" w:rsidRDefault="00E451E3" w:rsidP="00E451E3">
      <w:pPr>
        <w:pStyle w:val="ColourfulList-Accent11"/>
        <w:spacing w:line="360" w:lineRule="auto"/>
        <w:ind w:left="0"/>
        <w:rPr>
          <w:rFonts w:cs="Arial"/>
          <w:bCs/>
        </w:rPr>
      </w:pPr>
      <w:r>
        <w:rPr>
          <w:rFonts w:cs="Arial"/>
          <w:bCs/>
        </w:rPr>
        <w:t xml:space="preserve">An article has been submitted to </w:t>
      </w:r>
      <w:r w:rsidR="00410D26">
        <w:rPr>
          <w:rFonts w:cs="Arial"/>
          <w:bCs/>
        </w:rPr>
        <w:t xml:space="preserve">the SEDA magazine, </w:t>
      </w:r>
      <w:r>
        <w:rPr>
          <w:rFonts w:cs="Arial"/>
          <w:bCs/>
        </w:rPr>
        <w:t xml:space="preserve">Educational Developments, </w:t>
      </w:r>
      <w:r w:rsidR="00410D26">
        <w:rPr>
          <w:rFonts w:cs="Arial"/>
          <w:bCs/>
        </w:rPr>
        <w:t xml:space="preserve">with the </w:t>
      </w:r>
      <w:r>
        <w:rPr>
          <w:rFonts w:cs="Arial"/>
          <w:bCs/>
        </w:rPr>
        <w:t>provisional title:</w:t>
      </w:r>
      <w:r w:rsidR="00410D26">
        <w:rPr>
          <w:rFonts w:cs="Arial"/>
          <w:bCs/>
        </w:rPr>
        <w:t xml:space="preserve"> </w:t>
      </w:r>
      <w:r w:rsidRPr="00410D26">
        <w:rPr>
          <w:rFonts w:cs="Arial"/>
          <w:bCs/>
          <w:i/>
        </w:rPr>
        <w:t>Developing Lecturers to Teach and Support First Year Students and Students in Transition in Middle &amp; Northern Europe.</w:t>
      </w:r>
      <w:r>
        <w:rPr>
          <w:rFonts w:cs="Arial"/>
          <w:bCs/>
        </w:rPr>
        <w:t xml:space="preserve"> </w:t>
      </w:r>
    </w:p>
    <w:p w:rsidR="00EA5BB9" w:rsidRPr="00EA5BB9" w:rsidRDefault="00EA5BB9" w:rsidP="00584FB9">
      <w:pPr>
        <w:pStyle w:val="ColourfulList-Accent11"/>
        <w:spacing w:line="360" w:lineRule="auto"/>
        <w:ind w:left="360"/>
        <w:rPr>
          <w:rFonts w:cs="Arial"/>
        </w:rPr>
      </w:pPr>
    </w:p>
    <w:p w:rsidR="00104DA5" w:rsidRPr="00EA5BB9" w:rsidRDefault="00104DA5" w:rsidP="00EA5BB9">
      <w:pPr>
        <w:pStyle w:val="ColourfulList-Accent11"/>
        <w:spacing w:line="360" w:lineRule="auto"/>
        <w:ind w:left="0"/>
        <w:rPr>
          <w:rFonts w:cs="Arial"/>
          <w:b/>
        </w:rPr>
      </w:pPr>
      <w:r w:rsidRPr="00EA5BB9">
        <w:rPr>
          <w:rFonts w:cs="Arial"/>
          <w:b/>
        </w:rPr>
        <w:t>What effect has it had and where is this activity now heading?</w:t>
      </w:r>
    </w:p>
    <w:p w:rsidR="00E451E3" w:rsidRPr="00E451E3" w:rsidRDefault="00E451E3" w:rsidP="00E451E3">
      <w:pPr>
        <w:pStyle w:val="ColourfulList-Accent11"/>
        <w:spacing w:line="360" w:lineRule="auto"/>
        <w:ind w:left="0"/>
        <w:rPr>
          <w:rFonts w:cs="Arial"/>
          <w:bCs/>
        </w:rPr>
      </w:pPr>
      <w:r>
        <w:rPr>
          <w:rFonts w:cs="Arial"/>
        </w:rPr>
        <w:t xml:space="preserve">Responses to the paper at the EFYE Conference has led to subsequent </w:t>
      </w:r>
      <w:r>
        <w:rPr>
          <w:rFonts w:cs="Arial"/>
          <w:bCs/>
        </w:rPr>
        <w:t xml:space="preserve">discussions with the EFYEN and the EFYE Conference Organising Committee about the development of an award to recognise lecturers and educational developers good practice in relation to first year experience. The EFYEN is also exploring webinars on a variety of topics and </w:t>
      </w:r>
      <w:r w:rsidR="00562AE1">
        <w:rPr>
          <w:rFonts w:cs="Arial"/>
          <w:bCs/>
        </w:rPr>
        <w:t>it is likely that one of these</w:t>
      </w:r>
      <w:r>
        <w:rPr>
          <w:rFonts w:cs="Arial"/>
          <w:bCs/>
        </w:rPr>
        <w:t xml:space="preserve"> will be about good practice in developing staff</w:t>
      </w:r>
      <w:r w:rsidR="00410D26">
        <w:rPr>
          <w:rFonts w:cs="Arial"/>
          <w:bCs/>
        </w:rPr>
        <w:t xml:space="preserve"> in relation to FYE and transitions</w:t>
      </w:r>
      <w:r>
        <w:rPr>
          <w:rFonts w:cs="Arial"/>
          <w:bCs/>
        </w:rPr>
        <w:t xml:space="preserve">.   </w:t>
      </w:r>
    </w:p>
    <w:p w:rsidR="00E451E3" w:rsidRDefault="00E451E3" w:rsidP="00C55DEE">
      <w:pPr>
        <w:pStyle w:val="ColourfulList-Accent11"/>
        <w:spacing w:line="360" w:lineRule="auto"/>
        <w:ind w:left="0"/>
        <w:rPr>
          <w:rFonts w:cs="Arial"/>
        </w:rPr>
      </w:pPr>
    </w:p>
    <w:p w:rsidR="00650153" w:rsidRPr="00C65123" w:rsidRDefault="00E451E3" w:rsidP="00C55DEE">
      <w:pPr>
        <w:pStyle w:val="ColourfulList-Accent11"/>
        <w:spacing w:line="360" w:lineRule="auto"/>
        <w:ind w:left="0"/>
        <w:rPr>
          <w:rFonts w:cs="Arial"/>
          <w:b/>
        </w:rPr>
      </w:pPr>
      <w:r>
        <w:rPr>
          <w:rFonts w:cs="Arial"/>
        </w:rPr>
        <w:t xml:space="preserve">A second article is currently being developed focusing on the findings relating to professional recognition. </w:t>
      </w:r>
      <w:r w:rsidR="00874DE3">
        <w:rPr>
          <w:rFonts w:cs="Arial"/>
        </w:rPr>
        <w:t xml:space="preserve"> </w:t>
      </w:r>
      <w:r>
        <w:rPr>
          <w:rFonts w:cs="Arial"/>
        </w:rPr>
        <w:t>As a HEA accreditor, I am</w:t>
      </w:r>
      <w:r w:rsidR="00562AE1">
        <w:rPr>
          <w:rFonts w:cs="Arial"/>
        </w:rPr>
        <w:t xml:space="preserve"> also</w:t>
      </w:r>
      <w:r>
        <w:rPr>
          <w:rFonts w:cs="Arial"/>
        </w:rPr>
        <w:t xml:space="preserve"> aiming to share the findings with other accreditors and have already had initial conversations about the project with the recognition team at the HEA. </w:t>
      </w:r>
      <w:r w:rsidR="00410D26">
        <w:rPr>
          <w:rFonts w:cs="Arial"/>
        </w:rPr>
        <w:t xml:space="preserve">Some non-UK participants in the study were interested in both SEDA’s educational development resources and the UK Professional Standards Framework (UKPSF), and material has been shared with them after the interview process was complete. </w:t>
      </w:r>
    </w:p>
    <w:p w:rsidR="00104DA5" w:rsidRDefault="00104DA5" w:rsidP="00000E07">
      <w:pPr>
        <w:pStyle w:val="ColourfulList-Accent11"/>
        <w:spacing w:line="360" w:lineRule="auto"/>
        <w:ind w:left="0"/>
        <w:rPr>
          <w:rFonts w:cs="Arial"/>
        </w:rPr>
      </w:pPr>
    </w:p>
    <w:p w:rsidR="00DD5F51" w:rsidRDefault="00C65123" w:rsidP="00000E07">
      <w:pPr>
        <w:pStyle w:val="ColourfulList-Accent11"/>
        <w:spacing w:line="360" w:lineRule="auto"/>
        <w:ind w:left="0"/>
        <w:rPr>
          <w:rFonts w:cs="Arial"/>
          <w:b/>
        </w:rPr>
      </w:pPr>
      <w:r w:rsidRPr="00C65123">
        <w:rPr>
          <w:rFonts w:cs="Arial"/>
          <w:b/>
        </w:rPr>
        <w:t>References</w:t>
      </w:r>
    </w:p>
    <w:p w:rsidR="003C79E3" w:rsidRPr="00410D26" w:rsidRDefault="00234A8C" w:rsidP="003E754D">
      <w:r w:rsidRPr="00410D26">
        <w:t xml:space="preserve">Gunn, V. and Fisk, A. (2013) </w:t>
      </w:r>
      <w:r w:rsidRPr="00410D26">
        <w:rPr>
          <w:i/>
          <w:iCs/>
        </w:rPr>
        <w:t>Considering teaching excellence in higher education</w:t>
      </w:r>
      <w:r w:rsidRPr="00410D26">
        <w:t xml:space="preserve"> 2007-2013, York: Higher Education Academy </w:t>
      </w:r>
    </w:p>
    <w:p w:rsidR="003C79E3" w:rsidRPr="00410D26" w:rsidRDefault="00234A8C" w:rsidP="003E754D">
      <w:r w:rsidRPr="00410D26">
        <w:t xml:space="preserve">Korhonen, V and Törmä, S. (2014) Engagement with a teaching career – how a group of Finnish university teachers experience teacher identity and professional growth, </w:t>
      </w:r>
      <w:r w:rsidRPr="00410D26">
        <w:rPr>
          <w:i/>
          <w:iCs/>
        </w:rPr>
        <w:t xml:space="preserve">Journal of Further and Higher Education, </w:t>
      </w:r>
      <w:r w:rsidRPr="00410D26">
        <w:t xml:space="preserve">40:1, 65-82, </w:t>
      </w:r>
    </w:p>
    <w:p w:rsidR="003C79E3" w:rsidRPr="00410D26" w:rsidRDefault="00234A8C" w:rsidP="003E754D">
      <w:r w:rsidRPr="00410D26">
        <w:t xml:space="preserve">Mykelbust, J.P. (2016) Improving teaching quality moves to top of agenda, in </w:t>
      </w:r>
      <w:r w:rsidRPr="00410D26">
        <w:rPr>
          <w:i/>
          <w:iCs/>
        </w:rPr>
        <w:t>University World News,</w:t>
      </w:r>
      <w:r w:rsidRPr="00410D26">
        <w:t xml:space="preserve"> Issue 00396, 14 January 2016 </w:t>
      </w:r>
    </w:p>
    <w:p w:rsidR="003C79E3" w:rsidRPr="00410D26" w:rsidRDefault="00234A8C" w:rsidP="003E754D">
      <w:r w:rsidRPr="00410D26">
        <w:t xml:space="preserve">Pyörälä, E., et al. (2015) Significant networks and meaningful conversations observed in the first round applicants for the Teachers’ Academy at a research intensive university, </w:t>
      </w:r>
      <w:r w:rsidRPr="00410D26">
        <w:rPr>
          <w:i/>
          <w:iCs/>
        </w:rPr>
        <w:t xml:space="preserve">International Journal for Academic Development, </w:t>
      </w:r>
      <w:r w:rsidRPr="00410D26">
        <w:t xml:space="preserve">20:2, 150-162 </w:t>
      </w:r>
    </w:p>
    <w:p w:rsidR="003C79E3" w:rsidRPr="00410D26" w:rsidRDefault="00234A8C" w:rsidP="003E754D">
      <w:r w:rsidRPr="00410D26">
        <w:t xml:space="preserve">Pleschova et al. (2012) </w:t>
      </w:r>
      <w:r w:rsidRPr="00410D26">
        <w:rPr>
          <w:i/>
          <w:iCs/>
        </w:rPr>
        <w:t>The professionalisation of academics as teachers in higher education,</w:t>
      </w:r>
      <w:r w:rsidRPr="00410D26">
        <w:t xml:space="preserve"> (Social Science Position Paper) Strasbourg, France: European Science Foundation </w:t>
      </w:r>
    </w:p>
    <w:p w:rsidR="00DD5F51" w:rsidRDefault="00DD5F51" w:rsidP="00DD5F51"/>
    <w:p w:rsidR="00DD5F51" w:rsidRPr="00DD5F51" w:rsidRDefault="00DD5F51" w:rsidP="00DD5F51"/>
    <w:p w:rsidR="00DD5F51" w:rsidRDefault="00DD5F51" w:rsidP="00DD5F51"/>
    <w:p w:rsidR="00C65123" w:rsidRDefault="00C65123" w:rsidP="00000E07">
      <w:pPr>
        <w:pStyle w:val="ColourfulList-Accent11"/>
        <w:spacing w:line="360" w:lineRule="auto"/>
        <w:ind w:left="0"/>
        <w:rPr>
          <w:rFonts w:cs="Arial"/>
          <w:b/>
        </w:rPr>
      </w:pPr>
    </w:p>
    <w:sectPr w:rsidR="00C65123" w:rsidSect="00104DA5">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A8C" w:rsidRDefault="00234A8C" w:rsidP="000613D1">
      <w:pPr>
        <w:spacing w:after="0"/>
      </w:pPr>
      <w:r>
        <w:separator/>
      </w:r>
    </w:p>
  </w:endnote>
  <w:endnote w:type="continuationSeparator" w:id="0">
    <w:p w:rsidR="00234A8C" w:rsidRDefault="00234A8C" w:rsidP="00061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83738"/>
      <w:docPartObj>
        <w:docPartGallery w:val="Page Numbers (Bottom of Page)"/>
        <w:docPartUnique/>
      </w:docPartObj>
    </w:sdtPr>
    <w:sdtEndPr/>
    <w:sdtContent>
      <w:p w:rsidR="000613D1" w:rsidRDefault="00ED4C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13D1" w:rsidRDefault="00061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A8C" w:rsidRDefault="00234A8C" w:rsidP="000613D1">
      <w:pPr>
        <w:spacing w:after="0"/>
      </w:pPr>
      <w:r>
        <w:separator/>
      </w:r>
    </w:p>
  </w:footnote>
  <w:footnote w:type="continuationSeparator" w:id="0">
    <w:p w:rsidR="00234A8C" w:rsidRDefault="00234A8C" w:rsidP="000613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4357"/>
    <w:multiLevelType w:val="hybridMultilevel"/>
    <w:tmpl w:val="3D1CC708"/>
    <w:lvl w:ilvl="0" w:tplc="FFACF2F6">
      <w:start w:val="1"/>
      <w:numFmt w:val="bullet"/>
      <w:lvlText w:val="•"/>
      <w:lvlJc w:val="left"/>
      <w:pPr>
        <w:tabs>
          <w:tab w:val="num" w:pos="720"/>
        </w:tabs>
        <w:ind w:left="720" w:hanging="360"/>
      </w:pPr>
      <w:rPr>
        <w:rFonts w:ascii="Arial" w:hAnsi="Arial" w:hint="default"/>
      </w:rPr>
    </w:lvl>
    <w:lvl w:ilvl="1" w:tplc="8B34D494" w:tentative="1">
      <w:start w:val="1"/>
      <w:numFmt w:val="bullet"/>
      <w:lvlText w:val="•"/>
      <w:lvlJc w:val="left"/>
      <w:pPr>
        <w:tabs>
          <w:tab w:val="num" w:pos="1440"/>
        </w:tabs>
        <w:ind w:left="1440" w:hanging="360"/>
      </w:pPr>
      <w:rPr>
        <w:rFonts w:ascii="Arial" w:hAnsi="Arial" w:hint="default"/>
      </w:rPr>
    </w:lvl>
    <w:lvl w:ilvl="2" w:tplc="EA86D894" w:tentative="1">
      <w:start w:val="1"/>
      <w:numFmt w:val="bullet"/>
      <w:lvlText w:val="•"/>
      <w:lvlJc w:val="left"/>
      <w:pPr>
        <w:tabs>
          <w:tab w:val="num" w:pos="2160"/>
        </w:tabs>
        <w:ind w:left="2160" w:hanging="360"/>
      </w:pPr>
      <w:rPr>
        <w:rFonts w:ascii="Arial" w:hAnsi="Arial" w:hint="default"/>
      </w:rPr>
    </w:lvl>
    <w:lvl w:ilvl="3" w:tplc="2C369DC2" w:tentative="1">
      <w:start w:val="1"/>
      <w:numFmt w:val="bullet"/>
      <w:lvlText w:val="•"/>
      <w:lvlJc w:val="left"/>
      <w:pPr>
        <w:tabs>
          <w:tab w:val="num" w:pos="2880"/>
        </w:tabs>
        <w:ind w:left="2880" w:hanging="360"/>
      </w:pPr>
      <w:rPr>
        <w:rFonts w:ascii="Arial" w:hAnsi="Arial" w:hint="default"/>
      </w:rPr>
    </w:lvl>
    <w:lvl w:ilvl="4" w:tplc="B8202850" w:tentative="1">
      <w:start w:val="1"/>
      <w:numFmt w:val="bullet"/>
      <w:lvlText w:val="•"/>
      <w:lvlJc w:val="left"/>
      <w:pPr>
        <w:tabs>
          <w:tab w:val="num" w:pos="3600"/>
        </w:tabs>
        <w:ind w:left="3600" w:hanging="360"/>
      </w:pPr>
      <w:rPr>
        <w:rFonts w:ascii="Arial" w:hAnsi="Arial" w:hint="default"/>
      </w:rPr>
    </w:lvl>
    <w:lvl w:ilvl="5" w:tplc="D298AAF6" w:tentative="1">
      <w:start w:val="1"/>
      <w:numFmt w:val="bullet"/>
      <w:lvlText w:val="•"/>
      <w:lvlJc w:val="left"/>
      <w:pPr>
        <w:tabs>
          <w:tab w:val="num" w:pos="4320"/>
        </w:tabs>
        <w:ind w:left="4320" w:hanging="360"/>
      </w:pPr>
      <w:rPr>
        <w:rFonts w:ascii="Arial" w:hAnsi="Arial" w:hint="default"/>
      </w:rPr>
    </w:lvl>
    <w:lvl w:ilvl="6" w:tplc="0DF605D6" w:tentative="1">
      <w:start w:val="1"/>
      <w:numFmt w:val="bullet"/>
      <w:lvlText w:val="•"/>
      <w:lvlJc w:val="left"/>
      <w:pPr>
        <w:tabs>
          <w:tab w:val="num" w:pos="5040"/>
        </w:tabs>
        <w:ind w:left="5040" w:hanging="360"/>
      </w:pPr>
      <w:rPr>
        <w:rFonts w:ascii="Arial" w:hAnsi="Arial" w:hint="default"/>
      </w:rPr>
    </w:lvl>
    <w:lvl w:ilvl="7" w:tplc="1AC6A752" w:tentative="1">
      <w:start w:val="1"/>
      <w:numFmt w:val="bullet"/>
      <w:lvlText w:val="•"/>
      <w:lvlJc w:val="left"/>
      <w:pPr>
        <w:tabs>
          <w:tab w:val="num" w:pos="5760"/>
        </w:tabs>
        <w:ind w:left="5760" w:hanging="360"/>
      </w:pPr>
      <w:rPr>
        <w:rFonts w:ascii="Arial" w:hAnsi="Arial" w:hint="default"/>
      </w:rPr>
    </w:lvl>
    <w:lvl w:ilvl="8" w:tplc="A148EC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1B0F8F"/>
    <w:multiLevelType w:val="hybridMultilevel"/>
    <w:tmpl w:val="17044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0565C3"/>
    <w:multiLevelType w:val="hybridMultilevel"/>
    <w:tmpl w:val="19D69072"/>
    <w:lvl w:ilvl="0" w:tplc="A858BBEE">
      <w:start w:val="4"/>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04D9F"/>
    <w:multiLevelType w:val="hybridMultilevel"/>
    <w:tmpl w:val="20860986"/>
    <w:lvl w:ilvl="0" w:tplc="ABC2D630">
      <w:start w:val="1"/>
      <w:numFmt w:val="bullet"/>
      <w:lvlText w:val="•"/>
      <w:lvlJc w:val="left"/>
      <w:pPr>
        <w:tabs>
          <w:tab w:val="num" w:pos="720"/>
        </w:tabs>
        <w:ind w:left="720" w:hanging="360"/>
      </w:pPr>
      <w:rPr>
        <w:rFonts w:ascii="Arial" w:hAnsi="Arial" w:hint="default"/>
      </w:rPr>
    </w:lvl>
    <w:lvl w:ilvl="1" w:tplc="8264B01E" w:tentative="1">
      <w:start w:val="1"/>
      <w:numFmt w:val="bullet"/>
      <w:lvlText w:val="•"/>
      <w:lvlJc w:val="left"/>
      <w:pPr>
        <w:tabs>
          <w:tab w:val="num" w:pos="1440"/>
        </w:tabs>
        <w:ind w:left="1440" w:hanging="360"/>
      </w:pPr>
      <w:rPr>
        <w:rFonts w:ascii="Arial" w:hAnsi="Arial" w:hint="default"/>
      </w:rPr>
    </w:lvl>
    <w:lvl w:ilvl="2" w:tplc="05C4AC50" w:tentative="1">
      <w:start w:val="1"/>
      <w:numFmt w:val="bullet"/>
      <w:lvlText w:val="•"/>
      <w:lvlJc w:val="left"/>
      <w:pPr>
        <w:tabs>
          <w:tab w:val="num" w:pos="2160"/>
        </w:tabs>
        <w:ind w:left="2160" w:hanging="360"/>
      </w:pPr>
      <w:rPr>
        <w:rFonts w:ascii="Arial" w:hAnsi="Arial" w:hint="default"/>
      </w:rPr>
    </w:lvl>
    <w:lvl w:ilvl="3" w:tplc="FAB80F7C" w:tentative="1">
      <w:start w:val="1"/>
      <w:numFmt w:val="bullet"/>
      <w:lvlText w:val="•"/>
      <w:lvlJc w:val="left"/>
      <w:pPr>
        <w:tabs>
          <w:tab w:val="num" w:pos="2880"/>
        </w:tabs>
        <w:ind w:left="2880" w:hanging="360"/>
      </w:pPr>
      <w:rPr>
        <w:rFonts w:ascii="Arial" w:hAnsi="Arial" w:hint="default"/>
      </w:rPr>
    </w:lvl>
    <w:lvl w:ilvl="4" w:tplc="7FC40BF0" w:tentative="1">
      <w:start w:val="1"/>
      <w:numFmt w:val="bullet"/>
      <w:lvlText w:val="•"/>
      <w:lvlJc w:val="left"/>
      <w:pPr>
        <w:tabs>
          <w:tab w:val="num" w:pos="3600"/>
        </w:tabs>
        <w:ind w:left="3600" w:hanging="360"/>
      </w:pPr>
      <w:rPr>
        <w:rFonts w:ascii="Arial" w:hAnsi="Arial" w:hint="default"/>
      </w:rPr>
    </w:lvl>
    <w:lvl w:ilvl="5" w:tplc="5A12E1D6" w:tentative="1">
      <w:start w:val="1"/>
      <w:numFmt w:val="bullet"/>
      <w:lvlText w:val="•"/>
      <w:lvlJc w:val="left"/>
      <w:pPr>
        <w:tabs>
          <w:tab w:val="num" w:pos="4320"/>
        </w:tabs>
        <w:ind w:left="4320" w:hanging="360"/>
      </w:pPr>
      <w:rPr>
        <w:rFonts w:ascii="Arial" w:hAnsi="Arial" w:hint="default"/>
      </w:rPr>
    </w:lvl>
    <w:lvl w:ilvl="6" w:tplc="4C16625C" w:tentative="1">
      <w:start w:val="1"/>
      <w:numFmt w:val="bullet"/>
      <w:lvlText w:val="•"/>
      <w:lvlJc w:val="left"/>
      <w:pPr>
        <w:tabs>
          <w:tab w:val="num" w:pos="5040"/>
        </w:tabs>
        <w:ind w:left="5040" w:hanging="360"/>
      </w:pPr>
      <w:rPr>
        <w:rFonts w:ascii="Arial" w:hAnsi="Arial" w:hint="default"/>
      </w:rPr>
    </w:lvl>
    <w:lvl w:ilvl="7" w:tplc="D13A2988" w:tentative="1">
      <w:start w:val="1"/>
      <w:numFmt w:val="bullet"/>
      <w:lvlText w:val="•"/>
      <w:lvlJc w:val="left"/>
      <w:pPr>
        <w:tabs>
          <w:tab w:val="num" w:pos="5760"/>
        </w:tabs>
        <w:ind w:left="5760" w:hanging="360"/>
      </w:pPr>
      <w:rPr>
        <w:rFonts w:ascii="Arial" w:hAnsi="Arial" w:hint="default"/>
      </w:rPr>
    </w:lvl>
    <w:lvl w:ilvl="8" w:tplc="A0A428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5B0C73"/>
    <w:multiLevelType w:val="hybridMultilevel"/>
    <w:tmpl w:val="7EB68318"/>
    <w:lvl w:ilvl="0" w:tplc="0409000F">
      <w:start w:val="1"/>
      <w:numFmt w:val="decimal"/>
      <w:lvlText w:val="%1."/>
      <w:lvlJc w:val="left"/>
      <w:pPr>
        <w:ind w:left="108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9148E8"/>
    <w:multiLevelType w:val="hybridMultilevel"/>
    <w:tmpl w:val="85187CD4"/>
    <w:lvl w:ilvl="0" w:tplc="5FEA2B3C">
      <w:start w:val="1"/>
      <w:numFmt w:val="bullet"/>
      <w:lvlText w:val="•"/>
      <w:lvlJc w:val="left"/>
      <w:pPr>
        <w:tabs>
          <w:tab w:val="num" w:pos="720"/>
        </w:tabs>
        <w:ind w:left="720" w:hanging="360"/>
      </w:pPr>
      <w:rPr>
        <w:rFonts w:ascii="Arial" w:hAnsi="Arial" w:hint="default"/>
      </w:rPr>
    </w:lvl>
    <w:lvl w:ilvl="1" w:tplc="FA6A5F9C" w:tentative="1">
      <w:start w:val="1"/>
      <w:numFmt w:val="bullet"/>
      <w:lvlText w:val="•"/>
      <w:lvlJc w:val="left"/>
      <w:pPr>
        <w:tabs>
          <w:tab w:val="num" w:pos="1440"/>
        </w:tabs>
        <w:ind w:left="1440" w:hanging="360"/>
      </w:pPr>
      <w:rPr>
        <w:rFonts w:ascii="Arial" w:hAnsi="Arial" w:hint="default"/>
      </w:rPr>
    </w:lvl>
    <w:lvl w:ilvl="2" w:tplc="38323652" w:tentative="1">
      <w:start w:val="1"/>
      <w:numFmt w:val="bullet"/>
      <w:lvlText w:val="•"/>
      <w:lvlJc w:val="left"/>
      <w:pPr>
        <w:tabs>
          <w:tab w:val="num" w:pos="2160"/>
        </w:tabs>
        <w:ind w:left="2160" w:hanging="360"/>
      </w:pPr>
      <w:rPr>
        <w:rFonts w:ascii="Arial" w:hAnsi="Arial" w:hint="default"/>
      </w:rPr>
    </w:lvl>
    <w:lvl w:ilvl="3" w:tplc="4F10A336" w:tentative="1">
      <w:start w:val="1"/>
      <w:numFmt w:val="bullet"/>
      <w:lvlText w:val="•"/>
      <w:lvlJc w:val="left"/>
      <w:pPr>
        <w:tabs>
          <w:tab w:val="num" w:pos="2880"/>
        </w:tabs>
        <w:ind w:left="2880" w:hanging="360"/>
      </w:pPr>
      <w:rPr>
        <w:rFonts w:ascii="Arial" w:hAnsi="Arial" w:hint="default"/>
      </w:rPr>
    </w:lvl>
    <w:lvl w:ilvl="4" w:tplc="D56AFAB8" w:tentative="1">
      <w:start w:val="1"/>
      <w:numFmt w:val="bullet"/>
      <w:lvlText w:val="•"/>
      <w:lvlJc w:val="left"/>
      <w:pPr>
        <w:tabs>
          <w:tab w:val="num" w:pos="3600"/>
        </w:tabs>
        <w:ind w:left="3600" w:hanging="360"/>
      </w:pPr>
      <w:rPr>
        <w:rFonts w:ascii="Arial" w:hAnsi="Arial" w:hint="default"/>
      </w:rPr>
    </w:lvl>
    <w:lvl w:ilvl="5" w:tplc="0690202E" w:tentative="1">
      <w:start w:val="1"/>
      <w:numFmt w:val="bullet"/>
      <w:lvlText w:val="•"/>
      <w:lvlJc w:val="left"/>
      <w:pPr>
        <w:tabs>
          <w:tab w:val="num" w:pos="4320"/>
        </w:tabs>
        <w:ind w:left="4320" w:hanging="360"/>
      </w:pPr>
      <w:rPr>
        <w:rFonts w:ascii="Arial" w:hAnsi="Arial" w:hint="default"/>
      </w:rPr>
    </w:lvl>
    <w:lvl w:ilvl="6" w:tplc="D8329690" w:tentative="1">
      <w:start w:val="1"/>
      <w:numFmt w:val="bullet"/>
      <w:lvlText w:val="•"/>
      <w:lvlJc w:val="left"/>
      <w:pPr>
        <w:tabs>
          <w:tab w:val="num" w:pos="5040"/>
        </w:tabs>
        <w:ind w:left="5040" w:hanging="360"/>
      </w:pPr>
      <w:rPr>
        <w:rFonts w:ascii="Arial" w:hAnsi="Arial" w:hint="default"/>
      </w:rPr>
    </w:lvl>
    <w:lvl w:ilvl="7" w:tplc="A5DC581A" w:tentative="1">
      <w:start w:val="1"/>
      <w:numFmt w:val="bullet"/>
      <w:lvlText w:val="•"/>
      <w:lvlJc w:val="left"/>
      <w:pPr>
        <w:tabs>
          <w:tab w:val="num" w:pos="5760"/>
        </w:tabs>
        <w:ind w:left="5760" w:hanging="360"/>
      </w:pPr>
      <w:rPr>
        <w:rFonts w:ascii="Arial" w:hAnsi="Arial" w:hint="default"/>
      </w:rPr>
    </w:lvl>
    <w:lvl w:ilvl="8" w:tplc="4928FF7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51"/>
    <w:rsid w:val="00000E07"/>
    <w:rsid w:val="00016CB1"/>
    <w:rsid w:val="000309F0"/>
    <w:rsid w:val="00045C13"/>
    <w:rsid w:val="000613D1"/>
    <w:rsid w:val="0006606D"/>
    <w:rsid w:val="000E749C"/>
    <w:rsid w:val="00104DA5"/>
    <w:rsid w:val="00161FC9"/>
    <w:rsid w:val="00166F7E"/>
    <w:rsid w:val="001B756D"/>
    <w:rsid w:val="001C54C3"/>
    <w:rsid w:val="001D58F0"/>
    <w:rsid w:val="001F0CC9"/>
    <w:rsid w:val="00234A8C"/>
    <w:rsid w:val="00234C1E"/>
    <w:rsid w:val="002971AE"/>
    <w:rsid w:val="00303C1A"/>
    <w:rsid w:val="00323CA7"/>
    <w:rsid w:val="0032486D"/>
    <w:rsid w:val="003401FA"/>
    <w:rsid w:val="003C79E3"/>
    <w:rsid w:val="003E754D"/>
    <w:rsid w:val="00404E85"/>
    <w:rsid w:val="00410D26"/>
    <w:rsid w:val="004702D7"/>
    <w:rsid w:val="004A0B2E"/>
    <w:rsid w:val="004A7878"/>
    <w:rsid w:val="00505FD0"/>
    <w:rsid w:val="00545448"/>
    <w:rsid w:val="00546490"/>
    <w:rsid w:val="00562AE1"/>
    <w:rsid w:val="00573E99"/>
    <w:rsid w:val="00584FB9"/>
    <w:rsid w:val="005D3162"/>
    <w:rsid w:val="006368B6"/>
    <w:rsid w:val="00650153"/>
    <w:rsid w:val="00650670"/>
    <w:rsid w:val="0067421B"/>
    <w:rsid w:val="006753C5"/>
    <w:rsid w:val="006A44ED"/>
    <w:rsid w:val="006A6A71"/>
    <w:rsid w:val="006C32BB"/>
    <w:rsid w:val="007279AE"/>
    <w:rsid w:val="00874DE3"/>
    <w:rsid w:val="008C0317"/>
    <w:rsid w:val="008E09E0"/>
    <w:rsid w:val="008F09AF"/>
    <w:rsid w:val="0093372E"/>
    <w:rsid w:val="0095195F"/>
    <w:rsid w:val="009C42E8"/>
    <w:rsid w:val="009F7951"/>
    <w:rsid w:val="00A12554"/>
    <w:rsid w:val="00A17115"/>
    <w:rsid w:val="00A26DF7"/>
    <w:rsid w:val="00A34064"/>
    <w:rsid w:val="00A51F6E"/>
    <w:rsid w:val="00A61457"/>
    <w:rsid w:val="00A61A80"/>
    <w:rsid w:val="00AA0F81"/>
    <w:rsid w:val="00AD6FC3"/>
    <w:rsid w:val="00B02742"/>
    <w:rsid w:val="00B23A44"/>
    <w:rsid w:val="00B2420D"/>
    <w:rsid w:val="00B71628"/>
    <w:rsid w:val="00BC6323"/>
    <w:rsid w:val="00C05FAD"/>
    <w:rsid w:val="00C144F1"/>
    <w:rsid w:val="00C3078C"/>
    <w:rsid w:val="00C357D6"/>
    <w:rsid w:val="00C45A8C"/>
    <w:rsid w:val="00C55DEE"/>
    <w:rsid w:val="00C65123"/>
    <w:rsid w:val="00C669BA"/>
    <w:rsid w:val="00C802D7"/>
    <w:rsid w:val="00CA4278"/>
    <w:rsid w:val="00CB0C29"/>
    <w:rsid w:val="00DA6AAC"/>
    <w:rsid w:val="00DB2B57"/>
    <w:rsid w:val="00DB37A0"/>
    <w:rsid w:val="00DD5F51"/>
    <w:rsid w:val="00DE1129"/>
    <w:rsid w:val="00E35DEB"/>
    <w:rsid w:val="00E451E3"/>
    <w:rsid w:val="00EA5BB9"/>
    <w:rsid w:val="00EB4007"/>
    <w:rsid w:val="00EC608F"/>
    <w:rsid w:val="00ED4CB3"/>
    <w:rsid w:val="00F126FE"/>
    <w:rsid w:val="00F5235B"/>
    <w:rsid w:val="00F53856"/>
    <w:rsid w:val="00F745A8"/>
    <w:rsid w:val="00F937AF"/>
    <w:rsid w:val="00FC0E32"/>
    <w:rsid w:val="00FC261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058983-7478-4FFD-A512-D5FC9237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3D"/>
    <w:pPr>
      <w:spacing w:after="200"/>
    </w:pPr>
    <w:rPr>
      <w:rFonts w:ascii="Arial" w:hAnsi="Arial"/>
      <w:sz w:val="22"/>
      <w:szCs w:val="24"/>
      <w:lang w:eastAsia="en-US"/>
    </w:rPr>
  </w:style>
  <w:style w:type="paragraph" w:styleId="Heading1">
    <w:name w:val="heading 1"/>
    <w:basedOn w:val="Normal"/>
    <w:next w:val="Normal"/>
    <w:link w:val="Heading1Char"/>
    <w:uiPriority w:val="9"/>
    <w:qFormat/>
    <w:rsid w:val="000C05FC"/>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Normal"/>
    <w:link w:val="Heading2Char"/>
    <w:qFormat/>
    <w:rsid w:val="000C05FC"/>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semiHidden/>
    <w:unhideWhenUsed/>
    <w:qFormat/>
    <w:rsid w:val="00EA5BB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C05FC"/>
    <w:rPr>
      <w:rFonts w:ascii="Calibri" w:eastAsia="Times New Roman" w:hAnsi="Calibri" w:cs="Times New Roman"/>
      <w:b/>
      <w:bCs/>
      <w:color w:val="4F81BD"/>
      <w:sz w:val="26"/>
      <w:szCs w:val="26"/>
      <w:lang w:val="en-GB"/>
    </w:rPr>
  </w:style>
  <w:style w:type="character" w:customStyle="1" w:styleId="Heading1Char">
    <w:name w:val="Heading 1 Char"/>
    <w:link w:val="Heading1"/>
    <w:uiPriority w:val="9"/>
    <w:rsid w:val="000C05FC"/>
    <w:rPr>
      <w:rFonts w:ascii="Calibri" w:eastAsia="Times New Roman" w:hAnsi="Calibri" w:cs="Times New Roman"/>
      <w:b/>
      <w:bCs/>
      <w:color w:val="345A8A"/>
      <w:sz w:val="32"/>
      <w:szCs w:val="32"/>
      <w:lang w:val="en-GB"/>
    </w:rPr>
  </w:style>
  <w:style w:type="paragraph" w:customStyle="1" w:styleId="ColourfulList-Accent11">
    <w:name w:val="Colourful List - Accent 11"/>
    <w:basedOn w:val="Normal"/>
    <w:rsid w:val="000C05FC"/>
    <w:pPr>
      <w:ind w:left="720"/>
      <w:contextualSpacing/>
    </w:pPr>
  </w:style>
  <w:style w:type="character" w:styleId="Hyperlink">
    <w:name w:val="Hyperlink"/>
    <w:rsid w:val="00F937AF"/>
    <w:rPr>
      <w:color w:val="0563C1"/>
      <w:u w:val="single"/>
    </w:rPr>
  </w:style>
  <w:style w:type="character" w:styleId="FollowedHyperlink">
    <w:name w:val="FollowedHyperlink"/>
    <w:rsid w:val="00DB2B57"/>
    <w:rPr>
      <w:color w:val="954F72"/>
      <w:u w:val="single"/>
    </w:rPr>
  </w:style>
  <w:style w:type="character" w:customStyle="1" w:styleId="Heading3Char">
    <w:name w:val="Heading 3 Char"/>
    <w:link w:val="Heading3"/>
    <w:semiHidden/>
    <w:rsid w:val="00EA5BB9"/>
    <w:rPr>
      <w:rFonts w:ascii="Calibri Light" w:eastAsia="Times New Roman" w:hAnsi="Calibri Light" w:cs="Times New Roman"/>
      <w:b/>
      <w:bCs/>
      <w:sz w:val="26"/>
      <w:szCs w:val="26"/>
      <w:lang w:eastAsia="en-US"/>
    </w:rPr>
  </w:style>
  <w:style w:type="paragraph" w:styleId="Bibliography">
    <w:name w:val="Bibliography"/>
    <w:basedOn w:val="Normal"/>
    <w:next w:val="Normal"/>
    <w:rsid w:val="00DD5F51"/>
  </w:style>
  <w:style w:type="paragraph" w:styleId="NoSpacing">
    <w:name w:val="No Spacing"/>
    <w:basedOn w:val="Normal"/>
    <w:uiPriority w:val="1"/>
    <w:qFormat/>
    <w:rsid w:val="006368B6"/>
    <w:pPr>
      <w:spacing w:before="120" w:after="0"/>
    </w:pPr>
    <w:rPr>
      <w:rFonts w:eastAsia="Times New Roman"/>
      <w:szCs w:val="22"/>
      <w:lang w:val="en-US" w:bidi="en-US"/>
    </w:rPr>
  </w:style>
  <w:style w:type="paragraph" w:styleId="NormalWeb">
    <w:name w:val="Normal (Web)"/>
    <w:basedOn w:val="Normal"/>
    <w:uiPriority w:val="99"/>
    <w:unhideWhenUsed/>
    <w:rsid w:val="00E451E3"/>
    <w:pPr>
      <w:spacing w:before="100" w:beforeAutospacing="1" w:after="100" w:afterAutospacing="1"/>
    </w:pPr>
    <w:rPr>
      <w:rFonts w:ascii="Times New Roman" w:eastAsia="Times New Roman" w:hAnsi="Times New Roman"/>
      <w:sz w:val="24"/>
      <w:lang w:eastAsia="en-GB"/>
    </w:rPr>
  </w:style>
  <w:style w:type="paragraph" w:styleId="Header">
    <w:name w:val="header"/>
    <w:basedOn w:val="Normal"/>
    <w:link w:val="HeaderChar"/>
    <w:rsid w:val="000613D1"/>
    <w:pPr>
      <w:tabs>
        <w:tab w:val="center" w:pos="4513"/>
        <w:tab w:val="right" w:pos="9026"/>
      </w:tabs>
      <w:spacing w:after="0"/>
    </w:pPr>
  </w:style>
  <w:style w:type="character" w:customStyle="1" w:styleId="HeaderChar">
    <w:name w:val="Header Char"/>
    <w:basedOn w:val="DefaultParagraphFont"/>
    <w:link w:val="Header"/>
    <w:rsid w:val="000613D1"/>
    <w:rPr>
      <w:rFonts w:ascii="Arial" w:hAnsi="Arial"/>
      <w:sz w:val="22"/>
      <w:szCs w:val="24"/>
      <w:lang w:eastAsia="en-US"/>
    </w:rPr>
  </w:style>
  <w:style w:type="paragraph" w:styleId="Footer">
    <w:name w:val="footer"/>
    <w:basedOn w:val="Normal"/>
    <w:link w:val="FooterChar"/>
    <w:uiPriority w:val="99"/>
    <w:rsid w:val="000613D1"/>
    <w:pPr>
      <w:tabs>
        <w:tab w:val="center" w:pos="4513"/>
        <w:tab w:val="right" w:pos="9026"/>
      </w:tabs>
      <w:spacing w:after="0"/>
    </w:pPr>
  </w:style>
  <w:style w:type="character" w:customStyle="1" w:styleId="FooterChar">
    <w:name w:val="Footer Char"/>
    <w:basedOn w:val="DefaultParagraphFont"/>
    <w:link w:val="Footer"/>
    <w:uiPriority w:val="99"/>
    <w:rsid w:val="000613D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13728">
      <w:bodyDiv w:val="1"/>
      <w:marLeft w:val="0"/>
      <w:marRight w:val="0"/>
      <w:marTop w:val="0"/>
      <w:marBottom w:val="0"/>
      <w:divBdr>
        <w:top w:val="none" w:sz="0" w:space="0" w:color="auto"/>
        <w:left w:val="none" w:sz="0" w:space="0" w:color="auto"/>
        <w:bottom w:val="none" w:sz="0" w:space="0" w:color="auto"/>
        <w:right w:val="none" w:sz="0" w:space="0" w:color="auto"/>
      </w:divBdr>
    </w:div>
    <w:div w:id="731387740">
      <w:bodyDiv w:val="1"/>
      <w:marLeft w:val="0"/>
      <w:marRight w:val="0"/>
      <w:marTop w:val="0"/>
      <w:marBottom w:val="0"/>
      <w:divBdr>
        <w:top w:val="none" w:sz="0" w:space="0" w:color="auto"/>
        <w:left w:val="none" w:sz="0" w:space="0" w:color="auto"/>
        <w:bottom w:val="none" w:sz="0" w:space="0" w:color="auto"/>
        <w:right w:val="none" w:sz="0" w:space="0" w:color="auto"/>
      </w:divBdr>
    </w:div>
    <w:div w:id="835919913">
      <w:bodyDiv w:val="1"/>
      <w:marLeft w:val="0"/>
      <w:marRight w:val="0"/>
      <w:marTop w:val="0"/>
      <w:marBottom w:val="0"/>
      <w:divBdr>
        <w:top w:val="none" w:sz="0" w:space="0" w:color="auto"/>
        <w:left w:val="none" w:sz="0" w:space="0" w:color="auto"/>
        <w:bottom w:val="none" w:sz="0" w:space="0" w:color="auto"/>
        <w:right w:val="none" w:sz="0" w:space="0" w:color="auto"/>
      </w:divBdr>
    </w:div>
    <w:div w:id="857431049">
      <w:bodyDiv w:val="1"/>
      <w:marLeft w:val="0"/>
      <w:marRight w:val="0"/>
      <w:marTop w:val="0"/>
      <w:marBottom w:val="0"/>
      <w:divBdr>
        <w:top w:val="none" w:sz="0" w:space="0" w:color="auto"/>
        <w:left w:val="none" w:sz="0" w:space="0" w:color="auto"/>
        <w:bottom w:val="none" w:sz="0" w:space="0" w:color="auto"/>
        <w:right w:val="none" w:sz="0" w:space="0" w:color="auto"/>
      </w:divBdr>
      <w:divsChild>
        <w:div w:id="2103183642">
          <w:marLeft w:val="360"/>
          <w:marRight w:val="0"/>
          <w:marTop w:val="200"/>
          <w:marBottom w:val="0"/>
          <w:divBdr>
            <w:top w:val="none" w:sz="0" w:space="0" w:color="auto"/>
            <w:left w:val="none" w:sz="0" w:space="0" w:color="auto"/>
            <w:bottom w:val="none" w:sz="0" w:space="0" w:color="auto"/>
            <w:right w:val="none" w:sz="0" w:space="0" w:color="auto"/>
          </w:divBdr>
        </w:div>
        <w:div w:id="771128255">
          <w:marLeft w:val="360"/>
          <w:marRight w:val="0"/>
          <w:marTop w:val="200"/>
          <w:marBottom w:val="0"/>
          <w:divBdr>
            <w:top w:val="none" w:sz="0" w:space="0" w:color="auto"/>
            <w:left w:val="none" w:sz="0" w:space="0" w:color="auto"/>
            <w:bottom w:val="none" w:sz="0" w:space="0" w:color="auto"/>
            <w:right w:val="none" w:sz="0" w:space="0" w:color="auto"/>
          </w:divBdr>
        </w:div>
        <w:div w:id="1820537039">
          <w:marLeft w:val="360"/>
          <w:marRight w:val="0"/>
          <w:marTop w:val="200"/>
          <w:marBottom w:val="0"/>
          <w:divBdr>
            <w:top w:val="none" w:sz="0" w:space="0" w:color="auto"/>
            <w:left w:val="none" w:sz="0" w:space="0" w:color="auto"/>
            <w:bottom w:val="none" w:sz="0" w:space="0" w:color="auto"/>
            <w:right w:val="none" w:sz="0" w:space="0" w:color="auto"/>
          </w:divBdr>
        </w:div>
        <w:div w:id="97453130">
          <w:marLeft w:val="360"/>
          <w:marRight w:val="0"/>
          <w:marTop w:val="200"/>
          <w:marBottom w:val="0"/>
          <w:divBdr>
            <w:top w:val="none" w:sz="0" w:space="0" w:color="auto"/>
            <w:left w:val="none" w:sz="0" w:space="0" w:color="auto"/>
            <w:bottom w:val="none" w:sz="0" w:space="0" w:color="auto"/>
            <w:right w:val="none" w:sz="0" w:space="0" w:color="auto"/>
          </w:divBdr>
        </w:div>
        <w:div w:id="212816410">
          <w:marLeft w:val="360"/>
          <w:marRight w:val="0"/>
          <w:marTop w:val="200"/>
          <w:marBottom w:val="0"/>
          <w:divBdr>
            <w:top w:val="none" w:sz="0" w:space="0" w:color="auto"/>
            <w:left w:val="none" w:sz="0" w:space="0" w:color="auto"/>
            <w:bottom w:val="none" w:sz="0" w:space="0" w:color="auto"/>
            <w:right w:val="none" w:sz="0" w:space="0" w:color="auto"/>
          </w:divBdr>
        </w:div>
        <w:div w:id="1050612041">
          <w:marLeft w:val="360"/>
          <w:marRight w:val="0"/>
          <w:marTop w:val="200"/>
          <w:marBottom w:val="0"/>
          <w:divBdr>
            <w:top w:val="none" w:sz="0" w:space="0" w:color="auto"/>
            <w:left w:val="none" w:sz="0" w:space="0" w:color="auto"/>
            <w:bottom w:val="none" w:sz="0" w:space="0" w:color="auto"/>
            <w:right w:val="none" w:sz="0" w:space="0" w:color="auto"/>
          </w:divBdr>
        </w:div>
      </w:divsChild>
    </w:div>
    <w:div w:id="908075894">
      <w:bodyDiv w:val="1"/>
      <w:marLeft w:val="0"/>
      <w:marRight w:val="0"/>
      <w:marTop w:val="0"/>
      <w:marBottom w:val="0"/>
      <w:divBdr>
        <w:top w:val="none" w:sz="0" w:space="0" w:color="auto"/>
        <w:left w:val="none" w:sz="0" w:space="0" w:color="auto"/>
        <w:bottom w:val="none" w:sz="0" w:space="0" w:color="auto"/>
        <w:right w:val="none" w:sz="0" w:space="0" w:color="auto"/>
      </w:divBdr>
    </w:div>
    <w:div w:id="946422635">
      <w:bodyDiv w:val="1"/>
      <w:marLeft w:val="0"/>
      <w:marRight w:val="0"/>
      <w:marTop w:val="0"/>
      <w:marBottom w:val="0"/>
      <w:divBdr>
        <w:top w:val="none" w:sz="0" w:space="0" w:color="auto"/>
        <w:left w:val="none" w:sz="0" w:space="0" w:color="auto"/>
        <w:bottom w:val="none" w:sz="0" w:space="0" w:color="auto"/>
        <w:right w:val="none" w:sz="0" w:space="0" w:color="auto"/>
      </w:divBdr>
      <w:divsChild>
        <w:div w:id="504903271">
          <w:marLeft w:val="360"/>
          <w:marRight w:val="0"/>
          <w:marTop w:val="200"/>
          <w:marBottom w:val="0"/>
          <w:divBdr>
            <w:top w:val="none" w:sz="0" w:space="0" w:color="auto"/>
            <w:left w:val="none" w:sz="0" w:space="0" w:color="auto"/>
            <w:bottom w:val="none" w:sz="0" w:space="0" w:color="auto"/>
            <w:right w:val="none" w:sz="0" w:space="0" w:color="auto"/>
          </w:divBdr>
        </w:div>
        <w:div w:id="665715599">
          <w:marLeft w:val="360"/>
          <w:marRight w:val="0"/>
          <w:marTop w:val="200"/>
          <w:marBottom w:val="0"/>
          <w:divBdr>
            <w:top w:val="none" w:sz="0" w:space="0" w:color="auto"/>
            <w:left w:val="none" w:sz="0" w:space="0" w:color="auto"/>
            <w:bottom w:val="none" w:sz="0" w:space="0" w:color="auto"/>
            <w:right w:val="none" w:sz="0" w:space="0" w:color="auto"/>
          </w:divBdr>
        </w:div>
        <w:div w:id="527833294">
          <w:marLeft w:val="360"/>
          <w:marRight w:val="0"/>
          <w:marTop w:val="200"/>
          <w:marBottom w:val="0"/>
          <w:divBdr>
            <w:top w:val="none" w:sz="0" w:space="0" w:color="auto"/>
            <w:left w:val="none" w:sz="0" w:space="0" w:color="auto"/>
            <w:bottom w:val="none" w:sz="0" w:space="0" w:color="auto"/>
            <w:right w:val="none" w:sz="0" w:space="0" w:color="auto"/>
          </w:divBdr>
        </w:div>
        <w:div w:id="605576214">
          <w:marLeft w:val="360"/>
          <w:marRight w:val="0"/>
          <w:marTop w:val="200"/>
          <w:marBottom w:val="0"/>
          <w:divBdr>
            <w:top w:val="none" w:sz="0" w:space="0" w:color="auto"/>
            <w:left w:val="none" w:sz="0" w:space="0" w:color="auto"/>
            <w:bottom w:val="none" w:sz="0" w:space="0" w:color="auto"/>
            <w:right w:val="none" w:sz="0" w:space="0" w:color="auto"/>
          </w:divBdr>
        </w:div>
        <w:div w:id="1594781090">
          <w:marLeft w:val="360"/>
          <w:marRight w:val="0"/>
          <w:marTop w:val="200"/>
          <w:marBottom w:val="0"/>
          <w:divBdr>
            <w:top w:val="none" w:sz="0" w:space="0" w:color="auto"/>
            <w:left w:val="none" w:sz="0" w:space="0" w:color="auto"/>
            <w:bottom w:val="none" w:sz="0" w:space="0" w:color="auto"/>
            <w:right w:val="none" w:sz="0" w:space="0" w:color="auto"/>
          </w:divBdr>
        </w:div>
        <w:div w:id="300884266">
          <w:marLeft w:val="360"/>
          <w:marRight w:val="0"/>
          <w:marTop w:val="200"/>
          <w:marBottom w:val="0"/>
          <w:divBdr>
            <w:top w:val="none" w:sz="0" w:space="0" w:color="auto"/>
            <w:left w:val="none" w:sz="0" w:space="0" w:color="auto"/>
            <w:bottom w:val="none" w:sz="0" w:space="0" w:color="auto"/>
            <w:right w:val="none" w:sz="0" w:space="0" w:color="auto"/>
          </w:divBdr>
        </w:div>
        <w:div w:id="1278105805">
          <w:marLeft w:val="360"/>
          <w:marRight w:val="0"/>
          <w:marTop w:val="200"/>
          <w:marBottom w:val="0"/>
          <w:divBdr>
            <w:top w:val="none" w:sz="0" w:space="0" w:color="auto"/>
            <w:left w:val="none" w:sz="0" w:space="0" w:color="auto"/>
            <w:bottom w:val="none" w:sz="0" w:space="0" w:color="auto"/>
            <w:right w:val="none" w:sz="0" w:space="0" w:color="auto"/>
          </w:divBdr>
        </w:div>
        <w:div w:id="1659534349">
          <w:marLeft w:val="360"/>
          <w:marRight w:val="0"/>
          <w:marTop w:val="200"/>
          <w:marBottom w:val="0"/>
          <w:divBdr>
            <w:top w:val="none" w:sz="0" w:space="0" w:color="auto"/>
            <w:left w:val="none" w:sz="0" w:space="0" w:color="auto"/>
            <w:bottom w:val="none" w:sz="0" w:space="0" w:color="auto"/>
            <w:right w:val="none" w:sz="0" w:space="0" w:color="auto"/>
          </w:divBdr>
        </w:div>
      </w:divsChild>
    </w:div>
    <w:div w:id="1119450140">
      <w:bodyDiv w:val="1"/>
      <w:marLeft w:val="0"/>
      <w:marRight w:val="0"/>
      <w:marTop w:val="0"/>
      <w:marBottom w:val="0"/>
      <w:divBdr>
        <w:top w:val="none" w:sz="0" w:space="0" w:color="auto"/>
        <w:left w:val="none" w:sz="0" w:space="0" w:color="auto"/>
        <w:bottom w:val="none" w:sz="0" w:space="0" w:color="auto"/>
        <w:right w:val="none" w:sz="0" w:space="0" w:color="auto"/>
      </w:divBdr>
    </w:div>
    <w:div w:id="1437096005">
      <w:bodyDiv w:val="1"/>
      <w:marLeft w:val="0"/>
      <w:marRight w:val="0"/>
      <w:marTop w:val="0"/>
      <w:marBottom w:val="0"/>
      <w:divBdr>
        <w:top w:val="none" w:sz="0" w:space="0" w:color="auto"/>
        <w:left w:val="none" w:sz="0" w:space="0" w:color="auto"/>
        <w:bottom w:val="none" w:sz="0" w:space="0" w:color="auto"/>
        <w:right w:val="none" w:sz="0" w:space="0" w:color="auto"/>
      </w:divBdr>
      <w:divsChild>
        <w:div w:id="1303389601">
          <w:marLeft w:val="547"/>
          <w:marRight w:val="0"/>
          <w:marTop w:val="120"/>
          <w:marBottom w:val="0"/>
          <w:divBdr>
            <w:top w:val="none" w:sz="0" w:space="0" w:color="auto"/>
            <w:left w:val="none" w:sz="0" w:space="0" w:color="auto"/>
            <w:bottom w:val="none" w:sz="0" w:space="0" w:color="auto"/>
            <w:right w:val="none" w:sz="0" w:space="0" w:color="auto"/>
          </w:divBdr>
        </w:div>
        <w:div w:id="297998500">
          <w:marLeft w:val="547"/>
          <w:marRight w:val="0"/>
          <w:marTop w:val="120"/>
          <w:marBottom w:val="0"/>
          <w:divBdr>
            <w:top w:val="none" w:sz="0" w:space="0" w:color="auto"/>
            <w:left w:val="none" w:sz="0" w:space="0" w:color="auto"/>
            <w:bottom w:val="none" w:sz="0" w:space="0" w:color="auto"/>
            <w:right w:val="none" w:sz="0" w:space="0" w:color="auto"/>
          </w:divBdr>
        </w:div>
        <w:div w:id="1475483049">
          <w:marLeft w:val="547"/>
          <w:marRight w:val="0"/>
          <w:marTop w:val="120"/>
          <w:marBottom w:val="0"/>
          <w:divBdr>
            <w:top w:val="none" w:sz="0" w:space="0" w:color="auto"/>
            <w:left w:val="none" w:sz="0" w:space="0" w:color="auto"/>
            <w:bottom w:val="none" w:sz="0" w:space="0" w:color="auto"/>
            <w:right w:val="none" w:sz="0" w:space="0" w:color="auto"/>
          </w:divBdr>
        </w:div>
        <w:div w:id="2090076853">
          <w:marLeft w:val="547"/>
          <w:marRight w:val="0"/>
          <w:marTop w:val="120"/>
          <w:marBottom w:val="0"/>
          <w:divBdr>
            <w:top w:val="none" w:sz="0" w:space="0" w:color="auto"/>
            <w:left w:val="none" w:sz="0" w:space="0" w:color="auto"/>
            <w:bottom w:val="none" w:sz="0" w:space="0" w:color="auto"/>
            <w:right w:val="none" w:sz="0" w:space="0" w:color="auto"/>
          </w:divBdr>
        </w:div>
        <w:div w:id="1312833384">
          <w:marLeft w:val="547"/>
          <w:marRight w:val="0"/>
          <w:marTop w:val="120"/>
          <w:marBottom w:val="0"/>
          <w:divBdr>
            <w:top w:val="none" w:sz="0" w:space="0" w:color="auto"/>
            <w:left w:val="none" w:sz="0" w:space="0" w:color="auto"/>
            <w:bottom w:val="none" w:sz="0" w:space="0" w:color="auto"/>
            <w:right w:val="none" w:sz="0" w:space="0" w:color="auto"/>
          </w:divBdr>
        </w:div>
        <w:div w:id="134611530">
          <w:marLeft w:val="547"/>
          <w:marRight w:val="0"/>
          <w:marTop w:val="120"/>
          <w:marBottom w:val="0"/>
          <w:divBdr>
            <w:top w:val="none" w:sz="0" w:space="0" w:color="auto"/>
            <w:left w:val="none" w:sz="0" w:space="0" w:color="auto"/>
            <w:bottom w:val="none" w:sz="0" w:space="0" w:color="auto"/>
            <w:right w:val="none" w:sz="0" w:space="0" w:color="auto"/>
          </w:divBdr>
        </w:div>
      </w:divsChild>
    </w:div>
    <w:div w:id="1697850412">
      <w:bodyDiv w:val="1"/>
      <w:marLeft w:val="0"/>
      <w:marRight w:val="0"/>
      <w:marTop w:val="0"/>
      <w:marBottom w:val="0"/>
      <w:divBdr>
        <w:top w:val="none" w:sz="0" w:space="0" w:color="auto"/>
        <w:left w:val="none" w:sz="0" w:space="0" w:color="auto"/>
        <w:bottom w:val="none" w:sz="0" w:space="0" w:color="auto"/>
        <w:right w:val="none" w:sz="0" w:space="0" w:color="auto"/>
      </w:divBdr>
    </w:div>
    <w:div w:id="1785998558">
      <w:bodyDiv w:val="1"/>
      <w:marLeft w:val="0"/>
      <w:marRight w:val="0"/>
      <w:marTop w:val="0"/>
      <w:marBottom w:val="0"/>
      <w:divBdr>
        <w:top w:val="none" w:sz="0" w:space="0" w:color="auto"/>
        <w:left w:val="none" w:sz="0" w:space="0" w:color="auto"/>
        <w:bottom w:val="none" w:sz="0" w:space="0" w:color="auto"/>
        <w:right w:val="none" w:sz="0" w:space="0" w:color="auto"/>
      </w:divBdr>
    </w:div>
    <w:div w:id="1898080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nutt@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Ste95</b:Tag>
    <b:SourceType>Book</b:SourceType>
    <b:Guid>{B6D1C240-69CF-4FCC-872A-31731FBB14B2}</b:Guid>
    <b:Author>
      <b:Author>
        <b:NameList>
          <b:Person>
            <b:Last>Brookfield</b:Last>
            <b:First>Stephen</b:First>
          </b:Person>
        </b:NameList>
      </b:Author>
    </b:Author>
    <b:Title>Becoming a Critically Reflective Teacher</b:Title>
    <b:Year>1995</b:Year>
    <b:City>San-Francisco</b:City>
    <b:Publisher>Jossey-Bass</b:Publisher>
    <b:RefOrder>1</b:RefOrder>
  </b:Source>
  <b:Source>
    <b:Tag>Ste02</b:Tag>
    <b:SourceType>JournalArticle</b:SourceType>
    <b:Guid>{1BFB9E33-9070-4F59-B639-37BA5301D247}</b:Guid>
    <b:Title>Using the lenses of critically reflective teaching in the community college classroom</b:Title>
    <b:Year>2002</b:Year>
    <b:Author>
      <b:Author>
        <b:NameList>
          <b:Person>
            <b:Last>Brookfield</b:Last>
            <b:First>Stephen</b:First>
            <b:Middle>D</b:Middle>
          </b:Person>
        </b:NameList>
      </b:Author>
    </b:Author>
    <b:JournalName>New Directions for Community Colleges</b:JournalName>
    <b:Pages>31-38</b:Pages>
    <b:RefOrder>2</b:RefOrder>
  </b:Source>
</b:Sources>
</file>

<file path=customXml/itemProps1.xml><?xml version="1.0" encoding="utf-8"?>
<ds:datastoreItem xmlns:ds="http://schemas.openxmlformats.org/officeDocument/2006/customXml" ds:itemID="{9284707C-25F2-4F53-8367-5C3FF064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13718</CharactersWithSpaces>
  <SharedDoc>false</SharedDoc>
  <HLinks>
    <vt:vector size="30" baseType="variant">
      <vt:variant>
        <vt:i4>3342394</vt:i4>
      </vt:variant>
      <vt:variant>
        <vt:i4>12</vt:i4>
      </vt:variant>
      <vt:variant>
        <vt:i4>0</vt:i4>
      </vt:variant>
      <vt:variant>
        <vt:i4>5</vt:i4>
      </vt:variant>
      <vt:variant>
        <vt:lpwstr>http://eprints.lincoln.ac.uk/23225</vt:lpwstr>
      </vt:variant>
      <vt:variant>
        <vt:lpwstr/>
      </vt:variant>
      <vt:variant>
        <vt:i4>1507359</vt:i4>
      </vt:variant>
      <vt:variant>
        <vt:i4>9</vt:i4>
      </vt:variant>
      <vt:variant>
        <vt:i4>0</vt:i4>
      </vt:variant>
      <vt:variant>
        <vt:i4>5</vt:i4>
      </vt:variant>
      <vt:variant>
        <vt:lpwstr>http://staff.lincoln.ac.uk/id/004083</vt:lpwstr>
      </vt:variant>
      <vt:variant>
        <vt:lpwstr>research</vt:lpwstr>
      </vt:variant>
      <vt:variant>
        <vt:i4>1638424</vt:i4>
      </vt:variant>
      <vt:variant>
        <vt:i4>6</vt:i4>
      </vt:variant>
      <vt:variant>
        <vt:i4>0</vt:i4>
      </vt:variant>
      <vt:variant>
        <vt:i4>5</vt:i4>
      </vt:variant>
      <vt:variant>
        <vt:lpwstr>http://staff.lincoln.ac.uk/id/002994</vt:lpwstr>
      </vt:variant>
      <vt:variant>
        <vt:lpwstr>research</vt:lpwstr>
      </vt:variant>
      <vt:variant>
        <vt:i4>6488113</vt:i4>
      </vt:variant>
      <vt:variant>
        <vt:i4>3</vt:i4>
      </vt:variant>
      <vt:variant>
        <vt:i4>0</vt:i4>
      </vt:variant>
      <vt:variant>
        <vt:i4>5</vt:i4>
      </vt:variant>
      <vt:variant>
        <vt:lpwstr>http://edeu.lincoln.ac.uk/portfolio/reviewing-practice/</vt:lpwstr>
      </vt:variant>
      <vt:variant>
        <vt:lpwstr/>
      </vt:variant>
      <vt:variant>
        <vt:i4>4456511</vt:i4>
      </vt:variant>
      <vt:variant>
        <vt:i4>0</vt:i4>
      </vt:variant>
      <vt:variant>
        <vt:i4>0</vt:i4>
      </vt:variant>
      <vt:variant>
        <vt:i4>5</vt:i4>
      </vt:variant>
      <vt:variant>
        <vt:lpwstr>mailto:eparkin@lincoln.ac.uk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DEEPWELL FRANCES</dc:creator>
  <cp:lastModifiedBy>Emma Mastin</cp:lastModifiedBy>
  <cp:revision>2</cp:revision>
  <dcterms:created xsi:type="dcterms:W3CDTF">2017-08-18T14:47:00Z</dcterms:created>
  <dcterms:modified xsi:type="dcterms:W3CDTF">2017-08-18T14:47:00Z</dcterms:modified>
</cp:coreProperties>
</file>