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23" w:rsidRDefault="003C5863">
      <w:pPr>
        <w:rPr>
          <w:rFonts w:ascii="Calibri" w:hAnsi="Calibri"/>
          <w:b/>
        </w:rPr>
      </w:pPr>
      <w:bookmarkStart w:id="0" w:name="_GoBack"/>
      <w:bookmarkEnd w:id="0"/>
      <w:r w:rsidRPr="00931048">
        <w:rPr>
          <w:rFonts w:ascii="Calibri" w:hAnsi="Calibri"/>
          <w:b/>
        </w:rPr>
        <w:t>SEDA Website abstract</w:t>
      </w:r>
    </w:p>
    <w:p w:rsidR="00DF44F7" w:rsidRDefault="00DF44F7">
      <w:pPr>
        <w:rPr>
          <w:rFonts w:ascii="Calibri" w:hAnsi="Calibri"/>
          <w:b/>
        </w:rPr>
      </w:pPr>
    </w:p>
    <w:p w:rsidR="00DF44F7" w:rsidRPr="00D813C6" w:rsidRDefault="00DF44F7" w:rsidP="00DF44F7">
      <w:pPr>
        <w:pStyle w:val="NoSpacing"/>
        <w:rPr>
          <w:rFonts w:ascii="Calibri Light" w:hAnsi="Calibri Light" w:cs="Arial"/>
        </w:rPr>
      </w:pPr>
      <w:r>
        <w:rPr>
          <w:rFonts w:ascii="Calibri" w:hAnsi="Calibri" w:cs="Arial"/>
          <w:b/>
        </w:rPr>
        <w:t>Enhancing L&amp;T in an increasingly challenging context: Evaluation of enhancement outcomes arising from the application of a holistic quality model to an existing Peer Supported Review initiative</w:t>
      </w:r>
    </w:p>
    <w:p w:rsidR="00DF44F7" w:rsidRPr="00931048" w:rsidRDefault="00DF44F7">
      <w:pPr>
        <w:rPr>
          <w:rFonts w:ascii="Calibri" w:hAnsi="Calibri"/>
          <w:b/>
        </w:rPr>
      </w:pPr>
    </w:p>
    <w:p w:rsidR="006C6CF6" w:rsidRPr="00931048" w:rsidRDefault="00483469" w:rsidP="00671A3F">
      <w:pPr>
        <w:pStyle w:val="NoSpacing"/>
        <w:rPr>
          <w:rFonts w:ascii="Calibri" w:hAnsi="Calibri" w:cs="Arial"/>
          <w:szCs w:val="24"/>
        </w:rPr>
      </w:pPr>
      <w:r w:rsidRPr="00931048">
        <w:rPr>
          <w:rFonts w:ascii="Calibri" w:eastAsia="Arial" w:hAnsi="Calibri" w:cs="Arial"/>
          <w:szCs w:val="24"/>
        </w:rPr>
        <w:t>Academic teachers</w:t>
      </w:r>
      <w:r w:rsidRPr="00931048">
        <w:rPr>
          <w:rFonts w:ascii="Calibri" w:eastAsia="Arial" w:hAnsi="Calibri"/>
          <w:szCs w:val="24"/>
        </w:rPr>
        <w:t xml:space="preserve"> are the pivotal component to the endeavour of academic development</w:t>
      </w:r>
      <w:r w:rsidR="00F64669" w:rsidRPr="00931048">
        <w:rPr>
          <w:rFonts w:ascii="Calibri" w:eastAsia="Arial" w:hAnsi="Calibri"/>
          <w:szCs w:val="24"/>
        </w:rPr>
        <w:t xml:space="preserve">. </w:t>
      </w:r>
      <w:r w:rsidRPr="00931048">
        <w:rPr>
          <w:rFonts w:ascii="Calibri" w:eastAsia="Arial" w:hAnsi="Calibri" w:cs="Arial"/>
          <w:szCs w:val="24"/>
        </w:rPr>
        <w:t xml:space="preserve">However, </w:t>
      </w:r>
      <w:r w:rsidRPr="00931048">
        <w:rPr>
          <w:rFonts w:ascii="Calibri" w:eastAsia="Arial" w:hAnsi="Calibri"/>
          <w:szCs w:val="24"/>
        </w:rPr>
        <w:t xml:space="preserve">obtaining genuine commitment to teaching development activities is a persistent challenge. </w:t>
      </w:r>
      <w:r w:rsidR="00DC5F46" w:rsidRPr="00931048">
        <w:rPr>
          <w:rFonts w:ascii="Calibri" w:hAnsi="Calibri"/>
          <w:szCs w:val="24"/>
        </w:rPr>
        <w:t xml:space="preserve">Assuring </w:t>
      </w:r>
      <w:r w:rsidR="006C6CF6" w:rsidRPr="00931048">
        <w:rPr>
          <w:rFonts w:ascii="Calibri" w:hAnsi="Calibri"/>
          <w:szCs w:val="24"/>
        </w:rPr>
        <w:t>the quality of higher educat</w:t>
      </w:r>
      <w:r w:rsidR="00DC5F46" w:rsidRPr="00931048">
        <w:rPr>
          <w:rFonts w:ascii="Calibri" w:hAnsi="Calibri"/>
          <w:szCs w:val="24"/>
        </w:rPr>
        <w:t>ion is dominating policy and discussions across the world</w:t>
      </w:r>
      <w:r w:rsidR="007D03C5" w:rsidRPr="00931048">
        <w:rPr>
          <w:rFonts w:ascii="Calibri" w:hAnsi="Calibri"/>
          <w:szCs w:val="24"/>
        </w:rPr>
        <w:t xml:space="preserve"> and</w:t>
      </w:r>
      <w:r w:rsidR="00185721" w:rsidRPr="00931048">
        <w:rPr>
          <w:rFonts w:ascii="Calibri" w:hAnsi="Calibri"/>
          <w:szCs w:val="24"/>
        </w:rPr>
        <w:t xml:space="preserve">, indeed within the UK, </w:t>
      </w:r>
      <w:r w:rsidR="006C6CF6" w:rsidRPr="00931048">
        <w:rPr>
          <w:rFonts w:ascii="Calibri" w:hAnsi="Calibri"/>
          <w:szCs w:val="24"/>
        </w:rPr>
        <w:t>national drivers such as the</w:t>
      </w:r>
      <w:r w:rsidR="006C6CF6" w:rsidRPr="00DF44F7">
        <w:rPr>
          <w:rFonts w:ascii="Calibri" w:hAnsi="Calibri"/>
          <w:szCs w:val="24"/>
        </w:rPr>
        <w:t xml:space="preserve"> </w:t>
      </w:r>
      <w:r w:rsidR="000C4EB6" w:rsidRPr="00DF44F7">
        <w:rPr>
          <w:rFonts w:ascii="Calibri" w:hAnsi="Calibri"/>
          <w:szCs w:val="24"/>
        </w:rPr>
        <w:t>PSF</w:t>
      </w:r>
      <w:r w:rsidR="00DF44F7" w:rsidRPr="00DF44F7">
        <w:rPr>
          <w:rFonts w:ascii="Calibri" w:hAnsi="Calibri"/>
          <w:szCs w:val="24"/>
        </w:rPr>
        <w:t xml:space="preserve"> </w:t>
      </w:r>
      <w:r w:rsidR="006C6CF6" w:rsidRPr="00931048">
        <w:rPr>
          <w:rFonts w:ascii="Calibri" w:hAnsi="Calibri"/>
          <w:szCs w:val="24"/>
        </w:rPr>
        <w:t xml:space="preserve">and TEF have been </w:t>
      </w:r>
      <w:r w:rsidR="00185721" w:rsidRPr="00931048">
        <w:rPr>
          <w:rFonts w:ascii="Calibri" w:hAnsi="Calibri"/>
          <w:szCs w:val="24"/>
        </w:rPr>
        <w:t>devised</w:t>
      </w:r>
      <w:r w:rsidR="006C6CF6" w:rsidRPr="00931048">
        <w:rPr>
          <w:rFonts w:ascii="Calibri" w:hAnsi="Calibri"/>
          <w:szCs w:val="24"/>
        </w:rPr>
        <w:t xml:space="preserve"> to promote and raise standards in teaching practice and the student experience. </w:t>
      </w:r>
      <w:r w:rsidR="00185721" w:rsidRPr="00931048">
        <w:rPr>
          <w:rFonts w:ascii="Calibri" w:hAnsi="Calibri"/>
          <w:szCs w:val="24"/>
        </w:rPr>
        <w:t xml:space="preserve">These </w:t>
      </w:r>
      <w:r w:rsidR="006C6CF6" w:rsidRPr="00931048">
        <w:rPr>
          <w:rFonts w:ascii="Calibri" w:hAnsi="Calibri"/>
          <w:szCs w:val="24"/>
        </w:rPr>
        <w:t>str</w:t>
      </w:r>
      <w:r w:rsidR="00DC5F46" w:rsidRPr="00931048">
        <w:rPr>
          <w:rFonts w:ascii="Calibri" w:hAnsi="Calibri"/>
          <w:szCs w:val="24"/>
        </w:rPr>
        <w:t xml:space="preserve">uctural devices </w:t>
      </w:r>
      <w:r w:rsidR="00185721" w:rsidRPr="00931048">
        <w:rPr>
          <w:rFonts w:ascii="Calibri" w:hAnsi="Calibri"/>
          <w:szCs w:val="24"/>
        </w:rPr>
        <w:t xml:space="preserve">are </w:t>
      </w:r>
      <w:r w:rsidR="0095321F">
        <w:rPr>
          <w:rFonts w:ascii="Calibri" w:hAnsi="Calibri"/>
          <w:szCs w:val="24"/>
        </w:rPr>
        <w:t xml:space="preserve">emerging in </w:t>
      </w:r>
      <w:r w:rsidR="00DC5F46" w:rsidRPr="00931048">
        <w:rPr>
          <w:rFonts w:ascii="Calibri" w:hAnsi="Calibri"/>
          <w:szCs w:val="24"/>
        </w:rPr>
        <w:t xml:space="preserve">institutional </w:t>
      </w:r>
      <w:r w:rsidR="006C6CF6" w:rsidRPr="00931048">
        <w:rPr>
          <w:rFonts w:ascii="Calibri" w:hAnsi="Calibri"/>
          <w:szCs w:val="24"/>
        </w:rPr>
        <w:t>strategies and context</w:t>
      </w:r>
      <w:r w:rsidR="00185721" w:rsidRPr="00931048">
        <w:rPr>
          <w:rFonts w:ascii="Calibri" w:hAnsi="Calibri"/>
          <w:szCs w:val="24"/>
        </w:rPr>
        <w:t>s as</w:t>
      </w:r>
      <w:r w:rsidR="00671A3F">
        <w:rPr>
          <w:rFonts w:ascii="Calibri" w:hAnsi="Calibri"/>
          <w:szCs w:val="24"/>
        </w:rPr>
        <w:t xml:space="preserve"> performance indicators and there is a view that this</w:t>
      </w:r>
      <w:r w:rsidRPr="00931048">
        <w:rPr>
          <w:rFonts w:ascii="Calibri" w:hAnsi="Calibri"/>
          <w:szCs w:val="24"/>
        </w:rPr>
        <w:t xml:space="preserve"> pervasive metrics driven environment is </w:t>
      </w:r>
      <w:r w:rsidR="006C6CF6" w:rsidRPr="00931048">
        <w:rPr>
          <w:rFonts w:ascii="Calibri" w:hAnsi="Calibri"/>
          <w:szCs w:val="24"/>
        </w:rPr>
        <w:t xml:space="preserve">detrimental to </w:t>
      </w:r>
      <w:r w:rsidR="00671A3F">
        <w:rPr>
          <w:rFonts w:ascii="Calibri" w:hAnsi="Calibri"/>
          <w:szCs w:val="24"/>
        </w:rPr>
        <w:t xml:space="preserve">academic teaching practices, </w:t>
      </w:r>
      <w:r w:rsidR="006C6CF6" w:rsidRPr="00931048">
        <w:rPr>
          <w:rFonts w:ascii="Calibri" w:hAnsi="Calibri"/>
          <w:szCs w:val="24"/>
        </w:rPr>
        <w:t>the student learning e</w:t>
      </w:r>
      <w:r w:rsidRPr="00931048">
        <w:rPr>
          <w:rFonts w:ascii="Calibri" w:hAnsi="Calibri"/>
          <w:szCs w:val="24"/>
        </w:rPr>
        <w:t>xpe</w:t>
      </w:r>
      <w:r w:rsidR="00185721" w:rsidRPr="00931048">
        <w:rPr>
          <w:rFonts w:ascii="Calibri" w:hAnsi="Calibri"/>
          <w:szCs w:val="24"/>
        </w:rPr>
        <w:t>rience</w:t>
      </w:r>
      <w:r w:rsidR="00671A3F">
        <w:rPr>
          <w:rFonts w:ascii="Calibri" w:hAnsi="Calibri"/>
          <w:szCs w:val="24"/>
        </w:rPr>
        <w:t xml:space="preserve"> and the activities of ADs</w:t>
      </w:r>
      <w:r w:rsidR="00185721" w:rsidRPr="00931048">
        <w:rPr>
          <w:rFonts w:ascii="Calibri" w:hAnsi="Calibri"/>
          <w:szCs w:val="24"/>
        </w:rPr>
        <w:t xml:space="preserve"> </w:t>
      </w:r>
      <w:r w:rsidR="00A0520D" w:rsidRPr="00931048">
        <w:rPr>
          <w:rFonts w:ascii="Calibri" w:hAnsi="Calibri"/>
          <w:szCs w:val="24"/>
        </w:rPr>
        <w:t>tasked</w:t>
      </w:r>
      <w:r w:rsidR="00185721" w:rsidRPr="00931048">
        <w:rPr>
          <w:rFonts w:ascii="Calibri" w:hAnsi="Calibri"/>
          <w:szCs w:val="24"/>
        </w:rPr>
        <w:t xml:space="preserve"> with</w:t>
      </w:r>
      <w:r w:rsidRPr="00931048">
        <w:rPr>
          <w:rFonts w:ascii="Calibri" w:hAnsi="Calibri"/>
          <w:szCs w:val="24"/>
        </w:rPr>
        <w:t xml:space="preserve"> encouraging </w:t>
      </w:r>
      <w:r w:rsidR="008958CE">
        <w:rPr>
          <w:rFonts w:ascii="Calibri" w:hAnsi="Calibri"/>
          <w:szCs w:val="24"/>
        </w:rPr>
        <w:t>enhancements</w:t>
      </w:r>
      <w:r w:rsidR="00671A3F">
        <w:rPr>
          <w:rFonts w:ascii="Calibri" w:hAnsi="Calibri"/>
          <w:szCs w:val="24"/>
        </w:rPr>
        <w:t xml:space="preserve"> (Field, </w:t>
      </w:r>
      <w:r w:rsidR="00671A3F" w:rsidRPr="00931048">
        <w:rPr>
          <w:rFonts w:ascii="Calibri" w:hAnsi="Calibri"/>
          <w:szCs w:val="24"/>
        </w:rPr>
        <w:t>2015)</w:t>
      </w:r>
      <w:r w:rsidR="00671A3F">
        <w:rPr>
          <w:rFonts w:ascii="Calibri" w:hAnsi="Calibri"/>
          <w:szCs w:val="24"/>
        </w:rPr>
        <w:t>.</w:t>
      </w:r>
    </w:p>
    <w:p w:rsidR="006C6CF6" w:rsidRPr="00931048" w:rsidRDefault="006C6CF6" w:rsidP="006C6CF6">
      <w:pPr>
        <w:pStyle w:val="NoSpacing"/>
        <w:rPr>
          <w:rFonts w:ascii="Calibri" w:hAnsi="Calibri"/>
          <w:szCs w:val="24"/>
        </w:rPr>
      </w:pPr>
    </w:p>
    <w:p w:rsidR="006C6CF6" w:rsidRPr="00931048" w:rsidRDefault="006C6CF6" w:rsidP="006C6CF6">
      <w:pPr>
        <w:pStyle w:val="NoSpacing"/>
        <w:rPr>
          <w:rFonts w:ascii="Calibri" w:hAnsi="Calibri"/>
          <w:szCs w:val="24"/>
        </w:rPr>
      </w:pPr>
      <w:r w:rsidRPr="00931048">
        <w:rPr>
          <w:rFonts w:ascii="Calibri" w:hAnsi="Calibri"/>
          <w:szCs w:val="24"/>
        </w:rPr>
        <w:t>The literature</w:t>
      </w:r>
      <w:r w:rsidR="000C4EB6">
        <w:rPr>
          <w:rFonts w:ascii="Calibri" w:hAnsi="Calibri"/>
          <w:szCs w:val="24"/>
        </w:rPr>
        <w:t xml:space="preserve"> </w:t>
      </w:r>
      <w:r w:rsidR="00A1528D">
        <w:rPr>
          <w:rFonts w:ascii="Calibri" w:hAnsi="Calibri"/>
          <w:szCs w:val="24"/>
        </w:rPr>
        <w:t>puts forward t</w:t>
      </w:r>
      <w:r w:rsidRPr="00931048">
        <w:rPr>
          <w:rFonts w:ascii="Calibri" w:hAnsi="Calibri"/>
          <w:szCs w:val="24"/>
        </w:rPr>
        <w:t xml:space="preserve">hree independent shifts that can lead to better outcomes for academic development and the enhancement of L&amp;T more generally. </w:t>
      </w:r>
      <w:r w:rsidRPr="00931048">
        <w:rPr>
          <w:rFonts w:ascii="Calibri" w:eastAsia="Arial" w:hAnsi="Calibri"/>
          <w:szCs w:val="24"/>
        </w:rPr>
        <w:t xml:space="preserve">First, there is a view that strategies for the enhancement of L&amp;T are more likely to be productive if they </w:t>
      </w:r>
      <w:r w:rsidR="00133267" w:rsidRPr="00931048">
        <w:rPr>
          <w:rFonts w:ascii="Calibri" w:eastAsia="Arial" w:hAnsi="Calibri"/>
          <w:szCs w:val="24"/>
        </w:rPr>
        <w:t xml:space="preserve">are based upon and informed by contextual </w:t>
      </w:r>
      <w:r w:rsidRPr="00931048">
        <w:rPr>
          <w:rFonts w:ascii="Calibri" w:eastAsia="Arial" w:hAnsi="Calibri"/>
          <w:szCs w:val="24"/>
        </w:rPr>
        <w:t>intelligence</w:t>
      </w:r>
      <w:r w:rsidR="00B07B59">
        <w:rPr>
          <w:rFonts w:ascii="Calibri" w:eastAsia="Arial" w:hAnsi="Calibri"/>
          <w:szCs w:val="24"/>
        </w:rPr>
        <w:t xml:space="preserve"> (</w:t>
      </w:r>
      <w:proofErr w:type="spellStart"/>
      <w:r w:rsidR="00B07B59" w:rsidRPr="00B07B59">
        <w:rPr>
          <w:rFonts w:ascii="Calibri" w:eastAsia="Arial" w:hAnsi="Calibri"/>
          <w:szCs w:val="24"/>
        </w:rPr>
        <w:t>Bamber</w:t>
      </w:r>
      <w:proofErr w:type="spellEnd"/>
      <w:r w:rsidR="00B07B59" w:rsidRPr="00B07B59">
        <w:rPr>
          <w:rFonts w:ascii="Calibri" w:eastAsia="Arial" w:hAnsi="Calibri"/>
          <w:szCs w:val="24"/>
        </w:rPr>
        <w:t xml:space="preserve"> et al 2009</w:t>
      </w:r>
      <w:r w:rsidR="00B07B59">
        <w:rPr>
          <w:rFonts w:ascii="Calibri" w:eastAsia="Arial" w:hAnsi="Calibri"/>
          <w:szCs w:val="24"/>
        </w:rPr>
        <w:t>;</w:t>
      </w:r>
      <w:r w:rsidR="00A1528D">
        <w:rPr>
          <w:rFonts w:ascii="Calibri" w:eastAsia="Arial" w:hAnsi="Calibri"/>
          <w:szCs w:val="24"/>
        </w:rPr>
        <w:t xml:space="preserve"> </w:t>
      </w:r>
      <w:proofErr w:type="spellStart"/>
      <w:r w:rsidR="00B07B59">
        <w:rPr>
          <w:rFonts w:ascii="Calibri" w:eastAsia="Arial" w:hAnsi="Calibri"/>
          <w:szCs w:val="24"/>
        </w:rPr>
        <w:t>Martensson</w:t>
      </w:r>
      <w:proofErr w:type="spellEnd"/>
      <w:r w:rsidR="00B07B59">
        <w:rPr>
          <w:rFonts w:ascii="Calibri" w:eastAsia="Arial" w:hAnsi="Calibri"/>
          <w:szCs w:val="24"/>
        </w:rPr>
        <w:t>, 2014</w:t>
      </w:r>
      <w:r w:rsidR="00A1528D">
        <w:rPr>
          <w:rFonts w:ascii="Calibri" w:eastAsia="Arial" w:hAnsi="Calibri"/>
          <w:szCs w:val="24"/>
        </w:rPr>
        <w:t xml:space="preserve">; </w:t>
      </w:r>
      <w:proofErr w:type="spellStart"/>
      <w:r w:rsidR="00A1528D" w:rsidRPr="00B07B59">
        <w:rPr>
          <w:rFonts w:ascii="Calibri" w:eastAsia="Arial" w:hAnsi="Calibri"/>
          <w:szCs w:val="24"/>
        </w:rPr>
        <w:t>Zepke</w:t>
      </w:r>
      <w:proofErr w:type="spellEnd"/>
      <w:r w:rsidR="00A1528D" w:rsidRPr="00B07B59">
        <w:rPr>
          <w:rFonts w:ascii="Calibri" w:eastAsia="Arial" w:hAnsi="Calibri"/>
          <w:szCs w:val="24"/>
        </w:rPr>
        <w:t>, 2014</w:t>
      </w:r>
      <w:r w:rsidR="00B07B59">
        <w:rPr>
          <w:rFonts w:ascii="Calibri" w:eastAsia="Arial" w:hAnsi="Calibri"/>
          <w:szCs w:val="24"/>
        </w:rPr>
        <w:t>)</w:t>
      </w:r>
      <w:r w:rsidR="00133267" w:rsidRPr="00931048">
        <w:rPr>
          <w:rFonts w:ascii="Calibri" w:eastAsia="Arial" w:hAnsi="Calibri"/>
          <w:szCs w:val="24"/>
        </w:rPr>
        <w:t xml:space="preserve">. </w:t>
      </w:r>
      <w:r w:rsidR="00481EE2" w:rsidRPr="00931048">
        <w:rPr>
          <w:rFonts w:ascii="Calibri" w:hAnsi="Calibri" w:cs="AdvTTec369687"/>
          <w:color w:val="000000"/>
          <w:szCs w:val="24"/>
          <w:lang w:eastAsia="en-GB"/>
        </w:rPr>
        <w:t>Secondly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 xml:space="preserve">, </w:t>
      </w:r>
      <w:r w:rsidR="00133267" w:rsidRPr="00931048">
        <w:rPr>
          <w:rFonts w:ascii="Calibri" w:hAnsi="Calibri" w:cs="AdvTTec369687"/>
          <w:color w:val="000000"/>
          <w:szCs w:val="24"/>
          <w:lang w:eastAsia="en-GB"/>
        </w:rPr>
        <w:t>the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 xml:space="preserve"> </w:t>
      </w:r>
      <w:r w:rsidR="00133267" w:rsidRPr="00931048">
        <w:rPr>
          <w:rFonts w:ascii="Calibri" w:hAnsi="Calibri" w:cs="AdvTTec369687"/>
          <w:color w:val="000000"/>
          <w:szCs w:val="24"/>
          <w:lang w:eastAsia="en-GB"/>
        </w:rPr>
        <w:t>propensity for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 xml:space="preserve"> </w:t>
      </w:r>
      <w:r w:rsidRPr="00DF44F7">
        <w:rPr>
          <w:rFonts w:ascii="Calibri" w:hAnsi="Calibri" w:cs="AdvTTec369687"/>
          <w:szCs w:val="24"/>
          <w:lang w:eastAsia="en-GB"/>
        </w:rPr>
        <w:t xml:space="preserve">ADs 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>to focus</w:t>
      </w:r>
      <w:r w:rsidRPr="00931048">
        <w:rPr>
          <w:rFonts w:ascii="Calibri" w:eastAsia="Arial" w:hAnsi="Calibri"/>
          <w:szCs w:val="24"/>
        </w:rPr>
        <w:t xml:space="preserve"> o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>n the communication of policies and practices for enhancement s</w:t>
      </w:r>
      <w:r w:rsidRPr="00931048">
        <w:rPr>
          <w:rFonts w:ascii="Calibri" w:hAnsi="Calibri"/>
          <w:szCs w:val="24"/>
        </w:rPr>
        <w:t xml:space="preserve">hould be replaced with a more coordinative approach </w:t>
      </w:r>
      <w:r w:rsidRPr="00931048">
        <w:rPr>
          <w:rFonts w:ascii="Calibri" w:hAnsi="Calibri" w:cs="AdvTTec369687"/>
          <w:color w:val="000000"/>
          <w:szCs w:val="24"/>
          <w:lang w:eastAsia="en-GB"/>
        </w:rPr>
        <w:t>with the academic community</w:t>
      </w:r>
      <w:r w:rsidR="00A1528D">
        <w:rPr>
          <w:rFonts w:ascii="Calibri" w:hAnsi="Calibri" w:cs="AdvTTec369687"/>
          <w:color w:val="000000"/>
          <w:szCs w:val="24"/>
          <w:lang w:eastAsia="en-GB"/>
        </w:rPr>
        <w:t xml:space="preserve"> (</w:t>
      </w:r>
      <w:proofErr w:type="spellStart"/>
      <w:r w:rsidR="00A1528D">
        <w:rPr>
          <w:rFonts w:ascii="Calibri" w:hAnsi="Calibri" w:cs="AdvTTec369687"/>
          <w:color w:val="000000"/>
          <w:szCs w:val="24"/>
          <w:lang w:eastAsia="en-GB"/>
        </w:rPr>
        <w:t>Debowski</w:t>
      </w:r>
      <w:proofErr w:type="spellEnd"/>
      <w:r w:rsidR="00A1528D">
        <w:rPr>
          <w:rFonts w:ascii="Calibri" w:hAnsi="Calibri" w:cs="AdvTTec369687"/>
          <w:color w:val="000000"/>
          <w:szCs w:val="24"/>
          <w:lang w:eastAsia="en-GB"/>
        </w:rPr>
        <w:t xml:space="preserve">, 2014; </w:t>
      </w:r>
      <w:proofErr w:type="spellStart"/>
      <w:r w:rsidR="00A1528D">
        <w:rPr>
          <w:rFonts w:ascii="Calibri" w:hAnsi="Calibri" w:cs="AdvTTec369687"/>
          <w:color w:val="000000"/>
          <w:szCs w:val="24"/>
          <w:lang w:eastAsia="en-GB"/>
        </w:rPr>
        <w:t>Handal</w:t>
      </w:r>
      <w:proofErr w:type="spellEnd"/>
      <w:r w:rsidR="00A1528D">
        <w:rPr>
          <w:rFonts w:ascii="Calibri" w:hAnsi="Calibri" w:cs="AdvTTec369687"/>
          <w:color w:val="000000"/>
          <w:szCs w:val="24"/>
          <w:lang w:eastAsia="en-GB"/>
        </w:rPr>
        <w:t xml:space="preserve"> et al. </w:t>
      </w:r>
      <w:r w:rsidR="00A1528D" w:rsidRPr="00A1528D">
        <w:rPr>
          <w:rFonts w:ascii="Calibri" w:hAnsi="Calibri" w:cs="AdvTTec369687"/>
          <w:color w:val="000000"/>
          <w:szCs w:val="24"/>
          <w:lang w:eastAsia="en-GB"/>
        </w:rPr>
        <w:t>2014)</w:t>
      </w:r>
      <w:r w:rsidR="00704B4B" w:rsidRPr="00931048">
        <w:rPr>
          <w:rFonts w:ascii="Calibri" w:hAnsi="Calibri" w:cs="AdvTTec369687"/>
          <w:color w:val="000000"/>
          <w:szCs w:val="24"/>
          <w:lang w:eastAsia="en-GB"/>
        </w:rPr>
        <w:t xml:space="preserve">. </w:t>
      </w:r>
      <w:r w:rsidRPr="00931048">
        <w:rPr>
          <w:rFonts w:ascii="Calibri" w:hAnsi="Calibri"/>
          <w:szCs w:val="24"/>
        </w:rPr>
        <w:t>Finally, the</w:t>
      </w:r>
      <w:r w:rsidR="00896551" w:rsidRPr="00931048">
        <w:rPr>
          <w:rFonts w:ascii="Calibri" w:hAnsi="Calibri"/>
          <w:szCs w:val="24"/>
        </w:rPr>
        <w:t xml:space="preserve"> conventionally distinct fields of</w:t>
      </w:r>
      <w:r w:rsidR="00481EE2" w:rsidRPr="00931048">
        <w:rPr>
          <w:rFonts w:ascii="Calibri" w:hAnsi="Calibri"/>
          <w:szCs w:val="24"/>
        </w:rPr>
        <w:t xml:space="preserve"> </w:t>
      </w:r>
      <w:r w:rsidRPr="00931048">
        <w:rPr>
          <w:rFonts w:ascii="Calibri" w:hAnsi="Calibri"/>
          <w:szCs w:val="24"/>
        </w:rPr>
        <w:t xml:space="preserve">quality assurance and </w:t>
      </w:r>
      <w:r w:rsidR="00A47C45">
        <w:rPr>
          <w:rFonts w:ascii="Calibri" w:hAnsi="Calibri"/>
          <w:szCs w:val="24"/>
        </w:rPr>
        <w:t xml:space="preserve">quality </w:t>
      </w:r>
      <w:r w:rsidRPr="00931048">
        <w:rPr>
          <w:rFonts w:ascii="Calibri" w:hAnsi="Calibri"/>
          <w:szCs w:val="24"/>
        </w:rPr>
        <w:t xml:space="preserve">enhancement </w:t>
      </w:r>
      <w:r w:rsidR="00A47C45">
        <w:rPr>
          <w:rFonts w:ascii="Calibri" w:hAnsi="Calibri"/>
          <w:szCs w:val="24"/>
        </w:rPr>
        <w:t>can</w:t>
      </w:r>
      <w:r w:rsidR="00896551" w:rsidRPr="00931048">
        <w:rPr>
          <w:rFonts w:ascii="Calibri" w:hAnsi="Calibri"/>
          <w:szCs w:val="24"/>
        </w:rPr>
        <w:t xml:space="preserve"> </w:t>
      </w:r>
      <w:r w:rsidRPr="00931048">
        <w:rPr>
          <w:rFonts w:ascii="Calibri" w:hAnsi="Calibri"/>
          <w:szCs w:val="24"/>
        </w:rPr>
        <w:t xml:space="preserve">be </w:t>
      </w:r>
      <w:r w:rsidR="00896551" w:rsidRPr="00931048">
        <w:rPr>
          <w:rFonts w:ascii="Calibri" w:hAnsi="Calibri"/>
          <w:szCs w:val="24"/>
        </w:rPr>
        <w:t>assimilated into a</w:t>
      </w:r>
      <w:r w:rsidRPr="00931048">
        <w:rPr>
          <w:rFonts w:ascii="Calibri" w:hAnsi="Calibri"/>
          <w:szCs w:val="24"/>
        </w:rPr>
        <w:t xml:space="preserve"> </w:t>
      </w:r>
      <w:r w:rsidR="00A47C45">
        <w:rPr>
          <w:rFonts w:ascii="Calibri" w:hAnsi="Calibri"/>
          <w:szCs w:val="24"/>
        </w:rPr>
        <w:t>holistic</w:t>
      </w:r>
      <w:r w:rsidR="00F36EBA" w:rsidRPr="00931048">
        <w:rPr>
          <w:rFonts w:ascii="Calibri" w:hAnsi="Calibri"/>
          <w:szCs w:val="24"/>
        </w:rPr>
        <w:t xml:space="preserve"> quality </w:t>
      </w:r>
      <w:r w:rsidR="00896551" w:rsidRPr="00931048">
        <w:rPr>
          <w:rFonts w:ascii="Calibri" w:hAnsi="Calibri"/>
          <w:szCs w:val="24"/>
        </w:rPr>
        <w:t xml:space="preserve">process </w:t>
      </w:r>
      <w:r w:rsidR="00704B4B" w:rsidRPr="00931048">
        <w:rPr>
          <w:rFonts w:ascii="Calibri" w:hAnsi="Calibri" w:cs="Calibri"/>
          <w:szCs w:val="24"/>
        </w:rPr>
        <w:t>to</w:t>
      </w:r>
      <w:r w:rsidR="00896551" w:rsidRPr="00931048">
        <w:rPr>
          <w:rFonts w:ascii="Calibri" w:hAnsi="Calibri" w:cs="Calibri"/>
          <w:szCs w:val="24"/>
        </w:rPr>
        <w:t xml:space="preserve"> </w:t>
      </w:r>
      <w:r w:rsidRPr="00931048">
        <w:rPr>
          <w:rFonts w:ascii="Calibri" w:hAnsi="Calibri"/>
          <w:szCs w:val="24"/>
        </w:rPr>
        <w:t xml:space="preserve">achieve better </w:t>
      </w:r>
      <w:r w:rsidR="00A47C45">
        <w:rPr>
          <w:rFonts w:ascii="Calibri" w:hAnsi="Calibri"/>
          <w:szCs w:val="24"/>
        </w:rPr>
        <w:t xml:space="preserve">enhancement </w:t>
      </w:r>
      <w:r w:rsidRPr="00931048">
        <w:rPr>
          <w:rFonts w:ascii="Calibri" w:hAnsi="Calibri"/>
          <w:szCs w:val="24"/>
        </w:rPr>
        <w:t>outcomes (</w:t>
      </w:r>
      <w:proofErr w:type="spellStart"/>
      <w:r w:rsidR="0085521F" w:rsidRPr="00931048">
        <w:rPr>
          <w:rFonts w:ascii="Calibri" w:hAnsi="Calibri"/>
          <w:szCs w:val="24"/>
        </w:rPr>
        <w:t>Elassy</w:t>
      </w:r>
      <w:proofErr w:type="spellEnd"/>
      <w:r w:rsidR="0085521F" w:rsidRPr="00931048">
        <w:rPr>
          <w:rFonts w:ascii="Calibri" w:hAnsi="Calibri"/>
          <w:szCs w:val="24"/>
        </w:rPr>
        <w:t>, 2015</w:t>
      </w:r>
      <w:r w:rsidR="00A93B21">
        <w:rPr>
          <w:rFonts w:ascii="Calibri" w:hAnsi="Calibri"/>
          <w:szCs w:val="24"/>
        </w:rPr>
        <w:t>; Williams, 2016</w:t>
      </w:r>
      <w:r w:rsidR="0085521F" w:rsidRPr="00931048">
        <w:rPr>
          <w:rFonts w:ascii="Calibri" w:hAnsi="Calibri"/>
          <w:szCs w:val="24"/>
        </w:rPr>
        <w:t>)</w:t>
      </w:r>
      <w:r w:rsidRPr="00931048">
        <w:rPr>
          <w:rFonts w:ascii="Calibri" w:hAnsi="Calibri"/>
          <w:szCs w:val="24"/>
        </w:rPr>
        <w:t xml:space="preserve">. </w:t>
      </w:r>
    </w:p>
    <w:p w:rsidR="006C6CF6" w:rsidRPr="00931048" w:rsidRDefault="006C6CF6" w:rsidP="006C6CF6">
      <w:pPr>
        <w:pStyle w:val="NoSpacing"/>
        <w:rPr>
          <w:rFonts w:ascii="Calibri" w:hAnsi="Calibri"/>
          <w:szCs w:val="24"/>
        </w:rPr>
      </w:pPr>
    </w:p>
    <w:p w:rsidR="00BE3A55" w:rsidRDefault="00105133" w:rsidP="00D951CC">
      <w:pPr>
        <w:rPr>
          <w:rFonts w:ascii="Calibri" w:hAnsi="Calibri"/>
        </w:rPr>
      </w:pPr>
      <w:r w:rsidRPr="00931048">
        <w:rPr>
          <w:rFonts w:ascii="Calibri" w:hAnsi="Calibri"/>
          <w:lang w:val="en"/>
        </w:rPr>
        <w:t xml:space="preserve">This </w:t>
      </w:r>
      <w:r w:rsidR="00F7207E" w:rsidRPr="00931048">
        <w:rPr>
          <w:rFonts w:ascii="Calibri" w:hAnsi="Calibri" w:cs="AdvTTec369687"/>
          <w:color w:val="000000"/>
          <w:lang w:eastAsia="en-GB"/>
        </w:rPr>
        <w:t>institutional case study</w:t>
      </w:r>
      <w:r w:rsidR="00F7207E" w:rsidRPr="00931048">
        <w:rPr>
          <w:rFonts w:ascii="Calibri" w:hAnsi="Calibri"/>
        </w:rPr>
        <w:t xml:space="preserve"> evaluates the enhancement outcomes arising from the experimental i</w:t>
      </w:r>
      <w:r w:rsidR="00307F85" w:rsidRPr="00931048">
        <w:rPr>
          <w:rFonts w:ascii="Calibri" w:hAnsi="Calibri"/>
        </w:rPr>
        <w:t xml:space="preserve">ntegrated </w:t>
      </w:r>
      <w:r w:rsidR="00F7207E" w:rsidRPr="00931048">
        <w:rPr>
          <w:rFonts w:ascii="Calibri" w:hAnsi="Calibri"/>
        </w:rPr>
        <w:t xml:space="preserve">application of these three </w:t>
      </w:r>
      <w:r w:rsidR="00307F85" w:rsidRPr="00931048">
        <w:rPr>
          <w:rFonts w:ascii="Calibri" w:hAnsi="Calibri"/>
        </w:rPr>
        <w:t>tactics</w:t>
      </w:r>
      <w:r w:rsidR="00F7207E" w:rsidRPr="00931048">
        <w:rPr>
          <w:rFonts w:ascii="Calibri" w:hAnsi="Calibri"/>
        </w:rPr>
        <w:t xml:space="preserve"> to </w:t>
      </w:r>
      <w:r w:rsidRPr="00931048">
        <w:rPr>
          <w:rFonts w:ascii="Calibri" w:hAnsi="Calibri"/>
        </w:rPr>
        <w:t xml:space="preserve">inform the </w:t>
      </w:r>
      <w:r w:rsidR="0097617B" w:rsidRPr="00931048">
        <w:rPr>
          <w:rFonts w:ascii="Calibri" w:hAnsi="Calibri"/>
        </w:rPr>
        <w:t xml:space="preserve">refresh and refocus </w:t>
      </w:r>
      <w:r w:rsidRPr="00931048">
        <w:rPr>
          <w:rFonts w:ascii="Calibri" w:hAnsi="Calibri"/>
        </w:rPr>
        <w:t xml:space="preserve">of </w:t>
      </w:r>
      <w:r w:rsidR="00307F85" w:rsidRPr="00931048">
        <w:rPr>
          <w:rFonts w:ascii="Calibri" w:hAnsi="Calibri"/>
        </w:rPr>
        <w:t>an</w:t>
      </w:r>
      <w:r w:rsidR="006C6CF6" w:rsidRPr="00931048">
        <w:rPr>
          <w:rFonts w:ascii="Calibri" w:hAnsi="Calibri" w:cs="Calibri"/>
        </w:rPr>
        <w:t xml:space="preserve"> established Peer Supported Review </w:t>
      </w:r>
      <w:r w:rsidR="007E7DD8" w:rsidRPr="00931048">
        <w:rPr>
          <w:rFonts w:ascii="Calibri" w:hAnsi="Calibri" w:cs="Calibri"/>
        </w:rPr>
        <w:t>of L&amp;T</w:t>
      </w:r>
      <w:r w:rsidR="00F7207E" w:rsidRPr="00931048">
        <w:rPr>
          <w:rFonts w:ascii="Calibri" w:hAnsi="Calibri" w:cs="Calibri"/>
        </w:rPr>
        <w:t xml:space="preserve"> (PSR)</w:t>
      </w:r>
      <w:r w:rsidR="00307F85" w:rsidRPr="00931048">
        <w:rPr>
          <w:rFonts w:ascii="Calibri" w:hAnsi="Calibri" w:cs="Calibri"/>
        </w:rPr>
        <w:t xml:space="preserve"> process</w:t>
      </w:r>
      <w:r w:rsidR="00F7207E" w:rsidRPr="00931048">
        <w:rPr>
          <w:rFonts w:ascii="Calibri" w:hAnsi="Calibri" w:cs="Calibri"/>
        </w:rPr>
        <w:t xml:space="preserve">. </w:t>
      </w:r>
      <w:r w:rsidRPr="00931048">
        <w:rPr>
          <w:rFonts w:ascii="Calibri" w:hAnsi="Calibri"/>
        </w:rPr>
        <w:t xml:space="preserve">This </w:t>
      </w:r>
      <w:r w:rsidR="00307F85" w:rsidRPr="00931048">
        <w:rPr>
          <w:rFonts w:ascii="Calibri" w:hAnsi="Calibri"/>
        </w:rPr>
        <w:t>longstanding initiative</w:t>
      </w:r>
      <w:r w:rsidR="00E15719" w:rsidRPr="00931048">
        <w:rPr>
          <w:rFonts w:ascii="Calibri" w:hAnsi="Calibri"/>
        </w:rPr>
        <w:t xml:space="preserve"> </w:t>
      </w:r>
      <w:r w:rsidR="00E15719" w:rsidRPr="00931048">
        <w:rPr>
          <w:rFonts w:ascii="Calibri" w:hAnsi="Calibri"/>
          <w:lang w:val="en"/>
        </w:rPr>
        <w:t>provide</w:t>
      </w:r>
      <w:r w:rsidR="00307F85" w:rsidRPr="00931048">
        <w:rPr>
          <w:rFonts w:ascii="Calibri" w:hAnsi="Calibri"/>
          <w:lang w:val="en"/>
        </w:rPr>
        <w:t>s</w:t>
      </w:r>
      <w:r w:rsidR="00E15719" w:rsidRPr="00931048">
        <w:rPr>
          <w:rFonts w:ascii="Calibri" w:hAnsi="Calibri"/>
          <w:lang w:val="en"/>
        </w:rPr>
        <w:t xml:space="preserve"> staff with an opportunity to develop and evidence innovations in their professional practice. </w:t>
      </w:r>
      <w:r w:rsidR="00F7207E" w:rsidRPr="00931048">
        <w:rPr>
          <w:rFonts w:ascii="Calibri" w:hAnsi="Calibri"/>
        </w:rPr>
        <w:t xml:space="preserve">Existing </w:t>
      </w:r>
      <w:r w:rsidR="00D3082F" w:rsidRPr="00931048">
        <w:rPr>
          <w:rFonts w:ascii="Calibri" w:hAnsi="Calibri"/>
        </w:rPr>
        <w:t>institutional research</w:t>
      </w:r>
      <w:r w:rsidR="00F7207E" w:rsidRPr="00931048">
        <w:rPr>
          <w:rFonts w:ascii="Calibri" w:hAnsi="Calibri"/>
        </w:rPr>
        <w:t xml:space="preserve">, undertaken in 2015, </w:t>
      </w:r>
      <w:r w:rsidR="00D3082F" w:rsidRPr="00931048">
        <w:rPr>
          <w:rFonts w:ascii="Calibri" w:hAnsi="Calibri"/>
        </w:rPr>
        <w:t xml:space="preserve">uncovered evidence of </w:t>
      </w:r>
      <w:r w:rsidR="00B7358B" w:rsidRPr="00931048">
        <w:rPr>
          <w:rFonts w:ascii="Calibri" w:hAnsi="Calibri"/>
        </w:rPr>
        <w:t xml:space="preserve">a culture of </w:t>
      </w:r>
      <w:r w:rsidR="00D3082F" w:rsidRPr="00931048">
        <w:rPr>
          <w:rFonts w:ascii="Calibri" w:hAnsi="Calibri"/>
          <w:lang w:val="en"/>
        </w:rPr>
        <w:t xml:space="preserve">compliance </w:t>
      </w:r>
      <w:r w:rsidR="0066439C" w:rsidRPr="00931048">
        <w:rPr>
          <w:rFonts w:ascii="Calibri" w:hAnsi="Calibri"/>
        </w:rPr>
        <w:t xml:space="preserve">among </w:t>
      </w:r>
      <w:r w:rsidR="00F713D9">
        <w:rPr>
          <w:rFonts w:ascii="Calibri" w:hAnsi="Calibri"/>
        </w:rPr>
        <w:t xml:space="preserve">some </w:t>
      </w:r>
      <w:r w:rsidR="0066439C" w:rsidRPr="00931048">
        <w:rPr>
          <w:rFonts w:ascii="Calibri" w:hAnsi="Calibri"/>
        </w:rPr>
        <w:t>staff across a</w:t>
      </w:r>
      <w:r w:rsidR="009A066E" w:rsidRPr="00931048">
        <w:rPr>
          <w:rFonts w:ascii="Calibri" w:hAnsi="Calibri"/>
        </w:rPr>
        <w:t xml:space="preserve"> ra</w:t>
      </w:r>
      <w:r w:rsidR="00E15719" w:rsidRPr="00931048">
        <w:rPr>
          <w:rFonts w:ascii="Calibri" w:hAnsi="Calibri"/>
        </w:rPr>
        <w:t>nge of enhancement opportunities, including PSR</w:t>
      </w:r>
      <w:r w:rsidR="00B7358B" w:rsidRPr="00931048">
        <w:rPr>
          <w:rFonts w:ascii="Calibri" w:hAnsi="Calibri"/>
        </w:rPr>
        <w:t xml:space="preserve">, </w:t>
      </w:r>
      <w:r w:rsidR="00D3082F" w:rsidRPr="00931048">
        <w:rPr>
          <w:rFonts w:ascii="Calibri" w:hAnsi="Calibri"/>
        </w:rPr>
        <w:t xml:space="preserve">to satisfy institutional </w:t>
      </w:r>
      <w:r w:rsidR="00C926D8" w:rsidRPr="00931048">
        <w:rPr>
          <w:rFonts w:ascii="Calibri" w:hAnsi="Calibri"/>
        </w:rPr>
        <w:t>requirements</w:t>
      </w:r>
      <w:r w:rsidR="00B7358B" w:rsidRPr="00931048">
        <w:rPr>
          <w:rFonts w:ascii="Calibri" w:hAnsi="Calibri"/>
        </w:rPr>
        <w:t xml:space="preserve"> </w:t>
      </w:r>
      <w:r w:rsidR="00D3082F" w:rsidRPr="00931048">
        <w:rPr>
          <w:rFonts w:ascii="Calibri" w:eastAsia="Arial" w:hAnsi="Calibri" w:cs="Calibri"/>
        </w:rPr>
        <w:t>and</w:t>
      </w:r>
      <w:r w:rsidR="00B7358B" w:rsidRPr="00931048">
        <w:rPr>
          <w:rFonts w:ascii="Calibri" w:eastAsia="Arial" w:hAnsi="Calibri" w:cs="Calibri"/>
        </w:rPr>
        <w:t>/ or</w:t>
      </w:r>
      <w:r w:rsidR="00D3082F" w:rsidRPr="00931048">
        <w:rPr>
          <w:rFonts w:ascii="Calibri" w:eastAsia="Arial" w:hAnsi="Calibri" w:cs="Calibri"/>
        </w:rPr>
        <w:t xml:space="preserve"> for </w:t>
      </w:r>
      <w:r w:rsidR="00C926D8" w:rsidRPr="00931048">
        <w:rPr>
          <w:rFonts w:ascii="Calibri" w:eastAsia="Arial" w:hAnsi="Calibri" w:cs="Calibri"/>
        </w:rPr>
        <w:t xml:space="preserve">the purposes of </w:t>
      </w:r>
      <w:r w:rsidR="00D3082F" w:rsidRPr="00931048">
        <w:rPr>
          <w:rFonts w:ascii="Calibri" w:eastAsia="Arial" w:hAnsi="Calibri" w:cs="Calibri"/>
        </w:rPr>
        <w:t xml:space="preserve">professional recognition and promotion.  </w:t>
      </w:r>
      <w:r w:rsidR="0066439C" w:rsidRPr="00931048">
        <w:rPr>
          <w:rFonts w:ascii="Calibri" w:eastAsia="Arial" w:hAnsi="Calibri" w:cs="Calibri"/>
        </w:rPr>
        <w:t xml:space="preserve">Importantly, the </w:t>
      </w:r>
      <w:r w:rsidR="00C67F19">
        <w:rPr>
          <w:rFonts w:ascii="Calibri" w:eastAsia="Arial" w:hAnsi="Calibri" w:cs="Calibri"/>
        </w:rPr>
        <w:t>evidence</w:t>
      </w:r>
      <w:r w:rsidR="0066439C" w:rsidRPr="00931048">
        <w:rPr>
          <w:rFonts w:ascii="Calibri" w:eastAsia="Arial" w:hAnsi="Calibri" w:cs="Calibri"/>
        </w:rPr>
        <w:t xml:space="preserve"> indicated that this tokenism was stemming from a relatively new and increasingly</w:t>
      </w:r>
      <w:r w:rsidR="00D3082F" w:rsidRPr="00931048">
        <w:rPr>
          <w:rFonts w:ascii="Calibri" w:eastAsia="Arial" w:hAnsi="Calibri" w:cs="Calibri"/>
        </w:rPr>
        <w:t xml:space="preserve"> target and pe</w:t>
      </w:r>
      <w:r w:rsidR="0066439C" w:rsidRPr="00931048">
        <w:rPr>
          <w:rFonts w:ascii="Calibri" w:eastAsia="Arial" w:hAnsi="Calibri" w:cs="Calibri"/>
        </w:rPr>
        <w:t xml:space="preserve">rformance driven institutional </w:t>
      </w:r>
      <w:r w:rsidR="00D3082F" w:rsidRPr="00931048">
        <w:rPr>
          <w:rFonts w:ascii="Calibri" w:eastAsia="Arial" w:hAnsi="Calibri" w:cs="Calibri"/>
        </w:rPr>
        <w:t>context</w:t>
      </w:r>
      <w:r w:rsidR="0066439C" w:rsidRPr="00931048">
        <w:rPr>
          <w:rFonts w:ascii="Calibri" w:eastAsia="Arial" w:hAnsi="Calibri" w:cs="Calibri"/>
        </w:rPr>
        <w:t xml:space="preserve">. </w:t>
      </w:r>
      <w:r w:rsidR="003D4CF2" w:rsidRPr="00931048">
        <w:rPr>
          <w:rFonts w:ascii="Calibri" w:eastAsia="Arial" w:hAnsi="Calibri" w:cs="Calibri"/>
        </w:rPr>
        <w:t>Clearly, these issues</w:t>
      </w:r>
      <w:r w:rsidR="00D3082F" w:rsidRPr="00931048">
        <w:rPr>
          <w:rFonts w:ascii="Calibri" w:eastAsia="Arial" w:hAnsi="Calibri" w:cs="Calibri"/>
        </w:rPr>
        <w:t xml:space="preserve"> challenge the achievement </w:t>
      </w:r>
      <w:r w:rsidR="0079088D">
        <w:rPr>
          <w:rFonts w:ascii="Calibri" w:eastAsia="Arial" w:hAnsi="Calibri" w:cs="Calibri"/>
        </w:rPr>
        <w:t xml:space="preserve">of </w:t>
      </w:r>
      <w:r w:rsidR="00D3082F" w:rsidRPr="00931048">
        <w:rPr>
          <w:rFonts w:ascii="Calibri" w:eastAsia="Arial" w:hAnsi="Calibri" w:cs="Calibri"/>
        </w:rPr>
        <w:t>objectives around the enhancement of L&amp;T</w:t>
      </w:r>
      <w:r w:rsidR="003D4CF2" w:rsidRPr="00931048">
        <w:rPr>
          <w:rFonts w:ascii="Calibri" w:eastAsia="Arial" w:hAnsi="Calibri" w:cs="Calibri"/>
        </w:rPr>
        <w:t xml:space="preserve"> and, accordingly,</w:t>
      </w:r>
      <w:r w:rsidR="00D3082F" w:rsidRPr="00931048">
        <w:rPr>
          <w:rFonts w:ascii="Calibri" w:eastAsia="Arial" w:hAnsi="Calibri" w:cs="Calibri"/>
        </w:rPr>
        <w:t xml:space="preserve"> </w:t>
      </w:r>
      <w:r w:rsidR="00B7358B" w:rsidRPr="00931048">
        <w:rPr>
          <w:rFonts w:ascii="Calibri" w:eastAsia="Arial" w:hAnsi="Calibri" w:cs="Calibri"/>
        </w:rPr>
        <w:t>reinforce</w:t>
      </w:r>
      <w:r w:rsidR="00D3082F" w:rsidRPr="00931048">
        <w:rPr>
          <w:rFonts w:ascii="Calibri" w:eastAsia="Arial" w:hAnsi="Calibri" w:cs="Calibri"/>
        </w:rPr>
        <w:t xml:space="preserve"> the need to reflect on the efficacy of appr</w:t>
      </w:r>
      <w:r w:rsidR="00C926D8" w:rsidRPr="00931048">
        <w:rPr>
          <w:rFonts w:ascii="Calibri" w:eastAsia="Arial" w:hAnsi="Calibri" w:cs="Calibri"/>
        </w:rPr>
        <w:t>oaches</w:t>
      </w:r>
      <w:r w:rsidR="006B6C41" w:rsidRPr="00931048">
        <w:rPr>
          <w:rFonts w:ascii="Calibri" w:eastAsia="Arial" w:hAnsi="Calibri" w:cs="Calibri"/>
        </w:rPr>
        <w:t xml:space="preserve"> and activities for enhancement to </w:t>
      </w:r>
      <w:r w:rsidR="00D3082F" w:rsidRPr="00931048">
        <w:rPr>
          <w:rFonts w:ascii="Calibri" w:eastAsia="Arial" w:hAnsi="Calibri" w:cs="Calibri"/>
        </w:rPr>
        <w:t xml:space="preserve">expose the implications for </w:t>
      </w:r>
      <w:r w:rsidR="00B7358B" w:rsidRPr="00931048">
        <w:rPr>
          <w:rFonts w:ascii="Calibri" w:eastAsia="Arial" w:hAnsi="Calibri" w:cs="Calibri"/>
        </w:rPr>
        <w:t>strategies</w:t>
      </w:r>
      <w:r w:rsidR="006B6C41" w:rsidRPr="00931048">
        <w:rPr>
          <w:rFonts w:ascii="Calibri" w:eastAsia="Arial" w:hAnsi="Calibri" w:cs="Calibri"/>
        </w:rPr>
        <w:t xml:space="preserve"> going forward</w:t>
      </w:r>
      <w:r w:rsidR="00B7358B" w:rsidRPr="00931048">
        <w:rPr>
          <w:rFonts w:ascii="Calibri" w:eastAsia="Arial" w:hAnsi="Calibri" w:cs="Calibri"/>
        </w:rPr>
        <w:t>.</w:t>
      </w:r>
      <w:r w:rsidR="00B7358B" w:rsidRPr="00931048">
        <w:rPr>
          <w:rFonts w:ascii="Calibri" w:hAnsi="Calibri"/>
        </w:rPr>
        <w:t xml:space="preserve"> </w:t>
      </w:r>
    </w:p>
    <w:p w:rsidR="0070158D" w:rsidRDefault="0070158D" w:rsidP="00D951CC">
      <w:pPr>
        <w:rPr>
          <w:rFonts w:ascii="Calibri" w:hAnsi="Calibri"/>
        </w:rPr>
      </w:pPr>
    </w:p>
    <w:p w:rsidR="0070158D" w:rsidRPr="0070158D" w:rsidRDefault="0070158D" w:rsidP="0070158D">
      <w:pPr>
        <w:rPr>
          <w:rFonts w:ascii="Calibri" w:hAnsi="Calibri"/>
        </w:rPr>
      </w:pPr>
      <w:r>
        <w:rPr>
          <w:rFonts w:ascii="Calibri" w:hAnsi="Calibri"/>
        </w:rPr>
        <w:t xml:space="preserve">The methodology </w:t>
      </w:r>
      <w:r w:rsidR="00D81B97">
        <w:rPr>
          <w:rFonts w:ascii="Calibri" w:hAnsi="Calibri"/>
        </w:rPr>
        <w:t>combines</w:t>
      </w:r>
      <w:r w:rsidRPr="0070158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quantitative and qualitative </w:t>
      </w:r>
      <w:r w:rsidR="00D81B97">
        <w:rPr>
          <w:rFonts w:ascii="Calibri" w:hAnsi="Calibri"/>
        </w:rPr>
        <w:t xml:space="preserve">approaches to analyse </w:t>
      </w:r>
      <w:r w:rsidR="00955D02">
        <w:rPr>
          <w:rFonts w:ascii="Calibri" w:hAnsi="Calibri"/>
        </w:rPr>
        <w:t xml:space="preserve">and compare </w:t>
      </w:r>
      <w:r w:rsidR="00D81B97">
        <w:rPr>
          <w:rFonts w:ascii="Calibri" w:hAnsi="Calibri"/>
        </w:rPr>
        <w:t xml:space="preserve">the extent </w:t>
      </w:r>
      <w:r w:rsidR="00811B25">
        <w:rPr>
          <w:rFonts w:ascii="Calibri" w:hAnsi="Calibri"/>
        </w:rPr>
        <w:t xml:space="preserve">and character </w:t>
      </w:r>
      <w:r w:rsidR="00955D02">
        <w:rPr>
          <w:rFonts w:ascii="Calibri" w:hAnsi="Calibri"/>
        </w:rPr>
        <w:t>of</w:t>
      </w:r>
      <w:r w:rsidR="00D81B97">
        <w:rPr>
          <w:rFonts w:ascii="Calibri" w:hAnsi="Calibri"/>
        </w:rPr>
        <w:t xml:space="preserve"> enhancement outcomes submitted </w:t>
      </w:r>
      <w:r>
        <w:rPr>
          <w:rFonts w:ascii="Calibri" w:hAnsi="Calibri"/>
        </w:rPr>
        <w:t>via the refreshed</w:t>
      </w:r>
      <w:r w:rsidRPr="0070158D">
        <w:rPr>
          <w:rFonts w:ascii="Calibri" w:hAnsi="Calibri"/>
        </w:rPr>
        <w:t xml:space="preserve"> and existing </w:t>
      </w:r>
      <w:r>
        <w:rPr>
          <w:rFonts w:ascii="Calibri" w:hAnsi="Calibri"/>
        </w:rPr>
        <w:t>PSR schemes.</w:t>
      </w:r>
      <w:r w:rsidRPr="0070158D">
        <w:rPr>
          <w:rFonts w:ascii="Calibri" w:hAnsi="Calibri"/>
        </w:rPr>
        <w:t xml:space="preserve"> </w:t>
      </w:r>
      <w:r w:rsidR="00C071E2">
        <w:rPr>
          <w:rFonts w:ascii="Calibri" w:hAnsi="Calibri"/>
        </w:rPr>
        <w:t xml:space="preserve">In addition, </w:t>
      </w:r>
      <w:r w:rsidR="008D6B69">
        <w:rPr>
          <w:rFonts w:ascii="Calibri" w:hAnsi="Calibri"/>
        </w:rPr>
        <w:t xml:space="preserve">a short online survey </w:t>
      </w:r>
      <w:r w:rsidR="008D6B69" w:rsidRPr="0070158D">
        <w:rPr>
          <w:rFonts w:ascii="Calibri" w:hAnsi="Calibri"/>
        </w:rPr>
        <w:t xml:space="preserve">exploring perceptions </w:t>
      </w:r>
      <w:r w:rsidR="008D6B69">
        <w:rPr>
          <w:rFonts w:ascii="Calibri" w:hAnsi="Calibri"/>
        </w:rPr>
        <w:t xml:space="preserve">and efficacy of the PSR process was circulated to </w:t>
      </w:r>
      <w:r w:rsidR="00357DA7">
        <w:rPr>
          <w:rFonts w:ascii="Calibri" w:hAnsi="Calibri"/>
        </w:rPr>
        <w:t xml:space="preserve">staff </w:t>
      </w:r>
      <w:r w:rsidR="008D6B69">
        <w:rPr>
          <w:rFonts w:ascii="Calibri" w:hAnsi="Calibri"/>
        </w:rPr>
        <w:t>that engaged</w:t>
      </w:r>
      <w:r w:rsidR="00357DA7">
        <w:rPr>
          <w:rFonts w:ascii="Calibri" w:hAnsi="Calibri"/>
        </w:rPr>
        <w:t xml:space="preserve"> with the revised process</w:t>
      </w:r>
      <w:r w:rsidR="008D6B69">
        <w:rPr>
          <w:rFonts w:ascii="Calibri" w:hAnsi="Calibri"/>
        </w:rPr>
        <w:t xml:space="preserve"> during 2018</w:t>
      </w:r>
      <w:r w:rsidR="006F38AF">
        <w:rPr>
          <w:rFonts w:ascii="Calibri" w:hAnsi="Calibri"/>
        </w:rPr>
        <w:t>.</w:t>
      </w:r>
    </w:p>
    <w:p w:rsidR="00BE3A55" w:rsidRPr="00931048" w:rsidRDefault="00BE3A55" w:rsidP="00D951CC">
      <w:pPr>
        <w:rPr>
          <w:rFonts w:ascii="Calibri" w:hAnsi="Calibri"/>
        </w:rPr>
      </w:pPr>
    </w:p>
    <w:p w:rsidR="00D951CC" w:rsidRPr="00931048" w:rsidRDefault="00D951CC" w:rsidP="00D951CC">
      <w:pPr>
        <w:rPr>
          <w:rFonts w:ascii="Calibri" w:hAnsi="Calibri"/>
        </w:rPr>
      </w:pPr>
      <w:r w:rsidRPr="00931048">
        <w:rPr>
          <w:rFonts w:ascii="Calibri" w:hAnsi="Calibri"/>
        </w:rPr>
        <w:lastRenderedPageBreak/>
        <w:t xml:space="preserve">Preliminary findings </w:t>
      </w:r>
      <w:r w:rsidR="003C1922" w:rsidRPr="00931048">
        <w:rPr>
          <w:rFonts w:ascii="Calibri" w:hAnsi="Calibri"/>
        </w:rPr>
        <w:t xml:space="preserve">suggest that the </w:t>
      </w:r>
      <w:r w:rsidRPr="00931048">
        <w:rPr>
          <w:rFonts w:ascii="Calibri" w:hAnsi="Calibri"/>
        </w:rPr>
        <w:t xml:space="preserve">rejuvenation of </w:t>
      </w:r>
      <w:r w:rsidR="003C1922" w:rsidRPr="00931048">
        <w:rPr>
          <w:rFonts w:ascii="Calibri" w:hAnsi="Calibri"/>
        </w:rPr>
        <w:t xml:space="preserve">the PSR process </w:t>
      </w:r>
      <w:r w:rsidRPr="00931048">
        <w:rPr>
          <w:rFonts w:ascii="Calibri" w:hAnsi="Calibri"/>
        </w:rPr>
        <w:t>has</w:t>
      </w:r>
      <w:r w:rsidR="00BE3A55" w:rsidRPr="00931048">
        <w:rPr>
          <w:rFonts w:ascii="Calibri" w:hAnsi="Calibri"/>
        </w:rPr>
        <w:t xml:space="preserve"> had a positive impact on en</w:t>
      </w:r>
      <w:r w:rsidR="00DE2FCB">
        <w:rPr>
          <w:rFonts w:ascii="Calibri" w:hAnsi="Calibri"/>
        </w:rPr>
        <w:t>hancement outcomes</w:t>
      </w:r>
      <w:r w:rsidR="009C2B89">
        <w:rPr>
          <w:rFonts w:ascii="Calibri" w:hAnsi="Calibri"/>
        </w:rPr>
        <w:t xml:space="preserve"> that</w:t>
      </w:r>
      <w:r w:rsidR="001C6F33">
        <w:rPr>
          <w:rFonts w:ascii="Calibri" w:hAnsi="Calibri"/>
        </w:rPr>
        <w:t xml:space="preserve"> is</w:t>
      </w:r>
      <w:r w:rsidR="00BE3A55" w:rsidRPr="00931048">
        <w:rPr>
          <w:rFonts w:ascii="Calibri" w:hAnsi="Calibri"/>
        </w:rPr>
        <w:t xml:space="preserve"> evidenced by </w:t>
      </w:r>
      <w:r w:rsidRPr="00931048">
        <w:rPr>
          <w:rFonts w:ascii="Calibri" w:hAnsi="Calibri"/>
        </w:rPr>
        <w:t xml:space="preserve">a marked increase in levels of staff engagement with PSR, growth in the amount and extent of collaborative enhancement projects, and a greater number of </w:t>
      </w:r>
      <w:r w:rsidR="003C1922" w:rsidRPr="00931048">
        <w:rPr>
          <w:rFonts w:ascii="Calibri" w:hAnsi="Calibri"/>
        </w:rPr>
        <w:t xml:space="preserve">detailed, </w:t>
      </w:r>
      <w:r w:rsidRPr="00931048">
        <w:rPr>
          <w:rFonts w:ascii="Calibri" w:hAnsi="Calibri"/>
        </w:rPr>
        <w:t xml:space="preserve">comprehensive </w:t>
      </w:r>
      <w:r w:rsidR="003C1922" w:rsidRPr="00931048">
        <w:rPr>
          <w:rFonts w:ascii="Calibri" w:hAnsi="Calibri"/>
        </w:rPr>
        <w:t xml:space="preserve">and strategically aligned </w:t>
      </w:r>
      <w:r w:rsidRPr="00931048">
        <w:rPr>
          <w:rFonts w:ascii="Calibri" w:hAnsi="Calibri"/>
        </w:rPr>
        <w:t xml:space="preserve">enhancement </w:t>
      </w:r>
      <w:r w:rsidR="003C1922" w:rsidRPr="00931048">
        <w:rPr>
          <w:rFonts w:ascii="Calibri" w:hAnsi="Calibri"/>
        </w:rPr>
        <w:t>accounts</w:t>
      </w:r>
      <w:r w:rsidRPr="00931048">
        <w:rPr>
          <w:rFonts w:ascii="Calibri" w:hAnsi="Calibri"/>
        </w:rPr>
        <w:t xml:space="preserve">. Collectively, these key findings indicate that the </w:t>
      </w:r>
      <w:r w:rsidR="00154CCA" w:rsidRPr="00931048">
        <w:rPr>
          <w:rFonts w:ascii="Calibri" w:hAnsi="Calibri"/>
        </w:rPr>
        <w:t>combination</w:t>
      </w:r>
      <w:r w:rsidR="003C1922" w:rsidRPr="00931048">
        <w:rPr>
          <w:rFonts w:ascii="Calibri" w:hAnsi="Calibri"/>
        </w:rPr>
        <w:t xml:space="preserve"> of contextual i</w:t>
      </w:r>
      <w:r w:rsidR="00BE3A55" w:rsidRPr="00931048">
        <w:rPr>
          <w:rFonts w:ascii="Calibri" w:hAnsi="Calibri"/>
        </w:rPr>
        <w:t>ntelligence,</w:t>
      </w:r>
      <w:r w:rsidR="003C1922" w:rsidRPr="00931048">
        <w:rPr>
          <w:rFonts w:ascii="Calibri" w:hAnsi="Calibri"/>
        </w:rPr>
        <w:t xml:space="preserve"> a coordinative </w:t>
      </w:r>
      <w:r w:rsidR="00BE3A55" w:rsidRPr="00931048">
        <w:rPr>
          <w:rFonts w:ascii="Calibri" w:hAnsi="Calibri"/>
        </w:rPr>
        <w:t xml:space="preserve">approach to academic development </w:t>
      </w:r>
      <w:r w:rsidR="003C1922" w:rsidRPr="00931048">
        <w:rPr>
          <w:rFonts w:ascii="Calibri" w:hAnsi="Calibri"/>
        </w:rPr>
        <w:t xml:space="preserve">and a </w:t>
      </w:r>
      <w:r w:rsidR="00154CCA" w:rsidRPr="00931048">
        <w:rPr>
          <w:rFonts w:ascii="Calibri" w:hAnsi="Calibri"/>
        </w:rPr>
        <w:t>holistic</w:t>
      </w:r>
      <w:r w:rsidR="003C1922" w:rsidRPr="00931048">
        <w:rPr>
          <w:rFonts w:ascii="Calibri" w:hAnsi="Calibri"/>
        </w:rPr>
        <w:t xml:space="preserve"> quality model</w:t>
      </w:r>
      <w:r w:rsidRPr="00931048">
        <w:rPr>
          <w:rFonts w:ascii="Calibri" w:hAnsi="Calibri"/>
        </w:rPr>
        <w:t xml:space="preserve"> </w:t>
      </w:r>
      <w:r w:rsidR="003C1922" w:rsidRPr="00931048">
        <w:rPr>
          <w:rFonts w:ascii="Calibri" w:hAnsi="Calibri"/>
        </w:rPr>
        <w:t xml:space="preserve">explicitly </w:t>
      </w:r>
      <w:r w:rsidRPr="00931048">
        <w:rPr>
          <w:rFonts w:ascii="Calibri" w:hAnsi="Calibri"/>
        </w:rPr>
        <w:t xml:space="preserve">emphasises the alignment and interconnected value and relevance of staff, departmental and institutional </w:t>
      </w:r>
      <w:r w:rsidR="001500ED" w:rsidRPr="00931048">
        <w:rPr>
          <w:rFonts w:ascii="Calibri" w:hAnsi="Calibri"/>
        </w:rPr>
        <w:t>L&amp;T</w:t>
      </w:r>
      <w:r w:rsidR="00AC710B">
        <w:rPr>
          <w:rFonts w:ascii="Calibri" w:hAnsi="Calibri"/>
        </w:rPr>
        <w:t xml:space="preserve"> </w:t>
      </w:r>
      <w:r w:rsidRPr="00931048">
        <w:rPr>
          <w:rFonts w:ascii="Calibri" w:hAnsi="Calibri"/>
        </w:rPr>
        <w:t xml:space="preserve">objectives, </w:t>
      </w:r>
      <w:r w:rsidR="00154CCA" w:rsidRPr="00931048">
        <w:rPr>
          <w:rFonts w:ascii="Calibri" w:hAnsi="Calibri"/>
        </w:rPr>
        <w:t xml:space="preserve">which </w:t>
      </w:r>
      <w:r w:rsidRPr="00931048">
        <w:rPr>
          <w:rFonts w:ascii="Calibri" w:hAnsi="Calibri"/>
        </w:rPr>
        <w:t xml:space="preserve">has the potential to bolster meaningful and </w:t>
      </w:r>
      <w:r w:rsidR="001500ED" w:rsidRPr="00931048">
        <w:rPr>
          <w:rFonts w:ascii="Calibri" w:hAnsi="Calibri"/>
        </w:rPr>
        <w:t>committed</w:t>
      </w:r>
      <w:r w:rsidRPr="00931048">
        <w:rPr>
          <w:rFonts w:ascii="Calibri" w:hAnsi="Calibri"/>
        </w:rPr>
        <w:t xml:space="preserve"> engagement with enhancement</w:t>
      </w:r>
      <w:r w:rsidR="00503505" w:rsidRPr="00931048">
        <w:rPr>
          <w:rFonts w:ascii="Calibri" w:hAnsi="Calibri"/>
        </w:rPr>
        <w:t>.</w:t>
      </w:r>
    </w:p>
    <w:p w:rsidR="00F64669" w:rsidRPr="00931048" w:rsidRDefault="00F64669" w:rsidP="00D951CC">
      <w:pPr>
        <w:rPr>
          <w:rFonts w:ascii="Calibri" w:hAnsi="Calibri"/>
        </w:rPr>
      </w:pPr>
    </w:p>
    <w:p w:rsidR="00603ABD" w:rsidRDefault="00603ABD" w:rsidP="00931048">
      <w:pPr>
        <w:autoSpaceDE w:val="0"/>
        <w:autoSpaceDN w:val="0"/>
        <w:adjustRightInd w:val="0"/>
        <w:rPr>
          <w:rFonts w:ascii="Calibri" w:hAnsi="Calibri" w:cs="Arial"/>
          <w:u w:val="single"/>
        </w:rPr>
      </w:pPr>
    </w:p>
    <w:p w:rsidR="00603ABD" w:rsidRDefault="00603ABD" w:rsidP="00931048">
      <w:pPr>
        <w:autoSpaceDE w:val="0"/>
        <w:autoSpaceDN w:val="0"/>
        <w:adjustRightInd w:val="0"/>
        <w:rPr>
          <w:rFonts w:ascii="Calibri" w:hAnsi="Calibri" w:cs="Arial"/>
          <w:u w:val="single"/>
        </w:rPr>
      </w:pPr>
    </w:p>
    <w:p w:rsidR="00931048" w:rsidRPr="00931048" w:rsidRDefault="00931048" w:rsidP="00931048">
      <w:pPr>
        <w:autoSpaceDE w:val="0"/>
        <w:autoSpaceDN w:val="0"/>
        <w:adjustRightInd w:val="0"/>
        <w:rPr>
          <w:rFonts w:ascii="Calibri" w:hAnsi="Calibri" w:cs="Arial"/>
          <w:u w:val="single"/>
        </w:rPr>
      </w:pPr>
      <w:r w:rsidRPr="00931048">
        <w:rPr>
          <w:rFonts w:ascii="Calibri" w:hAnsi="Calibri" w:cs="Arial"/>
          <w:u w:val="single"/>
        </w:rPr>
        <w:t>Key references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proofErr w:type="spell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Bamber</w:t>
      </w:r>
      <w:proofErr w:type="spell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, V., 2009. </w:t>
      </w:r>
      <w:r w:rsidRPr="009D6870">
        <w:rPr>
          <w:rFonts w:ascii="Calibri" w:eastAsia="Times New Roman" w:hAnsi="Calibri"/>
          <w:i/>
          <w:sz w:val="22"/>
          <w:szCs w:val="22"/>
          <w:lang w:val="en-US" w:bidi="en-US"/>
        </w:rPr>
        <w:t>Enhancing learning, teaching, assessment and curriculum in higher education</w:t>
      </w:r>
      <w:r w:rsidRPr="009D6870">
        <w:rPr>
          <w:rFonts w:ascii="Calibri" w:eastAsia="Times New Roman" w:hAnsi="Calibri"/>
          <w:sz w:val="22"/>
          <w:szCs w:val="22"/>
          <w:lang w:val="en-US" w:bidi="en-US"/>
        </w:rPr>
        <w:t>. McGraw-Hill Education (UK).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proofErr w:type="spell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Debowski</w:t>
      </w:r>
      <w:proofErr w:type="spell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 (2014) </w:t>
      </w:r>
      <w:proofErr w:type="gram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From</w:t>
      </w:r>
      <w:proofErr w:type="gram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 agents of change to partners in arms: the emerging academic developer role, International Journal for Academic Development, 19:1, 50-56</w:t>
      </w:r>
    </w:p>
    <w:p w:rsidR="009D6870" w:rsidRPr="009D6870" w:rsidRDefault="009D6870" w:rsidP="009D6870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9D6870">
        <w:rPr>
          <w:rFonts w:ascii="Arial" w:eastAsia="Times New Roman" w:hAnsi="Arial" w:cs="Arial"/>
          <w:sz w:val="20"/>
          <w:szCs w:val="20"/>
        </w:rPr>
        <w:t>Elassy</w:t>
      </w:r>
      <w:proofErr w:type="spellEnd"/>
      <w:r w:rsidRPr="009D6870">
        <w:rPr>
          <w:rFonts w:ascii="Arial" w:eastAsia="Times New Roman" w:hAnsi="Arial" w:cs="Arial"/>
          <w:sz w:val="20"/>
          <w:szCs w:val="20"/>
        </w:rPr>
        <w:t xml:space="preserve"> N, (2015)," The concepts of quality, quality assurance and quality enhancement ", Quality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r w:rsidRPr="009D6870">
        <w:rPr>
          <w:rFonts w:ascii="Arial" w:eastAsia="Times New Roman" w:hAnsi="Arial" w:cs="Arial"/>
          <w:sz w:val="20"/>
          <w:szCs w:val="20"/>
        </w:rPr>
        <w:t xml:space="preserve">Assurance in Education, Vol. 23 </w:t>
      </w:r>
      <w:proofErr w:type="spellStart"/>
      <w:r w:rsidRPr="009D6870">
        <w:rPr>
          <w:rFonts w:ascii="Arial" w:eastAsia="Times New Roman" w:hAnsi="Arial" w:cs="Arial"/>
          <w:sz w:val="20"/>
          <w:szCs w:val="20"/>
        </w:rPr>
        <w:t>Iss</w:t>
      </w:r>
      <w:proofErr w:type="spellEnd"/>
      <w:r w:rsidRPr="009D6870">
        <w:rPr>
          <w:rFonts w:ascii="Arial" w:eastAsia="Times New Roman" w:hAnsi="Arial" w:cs="Arial"/>
          <w:sz w:val="20"/>
          <w:szCs w:val="20"/>
        </w:rPr>
        <w:t xml:space="preserve"> 3 pp. 250 - 261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Field, L. (2015) </w:t>
      </w:r>
      <w:proofErr w:type="gram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Whither</w:t>
      </w:r>
      <w:proofErr w:type="gram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 teaching? Academics’ informal learning about teaching in the ‘tiger mother’ university, </w:t>
      </w:r>
      <w:r w:rsidRPr="009D6870">
        <w:rPr>
          <w:rFonts w:ascii="Calibri" w:eastAsia="Times New Roman" w:hAnsi="Calibri"/>
          <w:i/>
          <w:sz w:val="22"/>
          <w:szCs w:val="22"/>
          <w:lang w:val="en-US" w:bidi="en-US"/>
        </w:rPr>
        <w:t>International Journal for Academic Development</w:t>
      </w:r>
      <w:r w:rsidRPr="009D6870">
        <w:rPr>
          <w:rFonts w:ascii="Calibri" w:eastAsia="Times New Roman" w:hAnsi="Calibri"/>
          <w:sz w:val="22"/>
          <w:szCs w:val="22"/>
          <w:lang w:val="en-US" w:bidi="en-US"/>
        </w:rPr>
        <w:t>, 20:2, 113-125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proofErr w:type="spell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Mårtensson</w:t>
      </w:r>
      <w:proofErr w:type="spell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, K. (2014) Influencing teaching and learning </w:t>
      </w:r>
      <w:proofErr w:type="spell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microcultures</w:t>
      </w:r>
      <w:proofErr w:type="spell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 - Academic development in a research-intensive university, Doctoral Dissertation, Lund University, 1-84</w:t>
      </w:r>
    </w:p>
    <w:p w:rsidR="009D6870" w:rsidRPr="009D6870" w:rsidRDefault="009D6870" w:rsidP="009D6870">
      <w:pPr>
        <w:spacing w:before="120" w:after="120" w:line="360" w:lineRule="auto"/>
        <w:rPr>
          <w:rFonts w:ascii="Calibri" w:eastAsia="Times New Roman" w:hAnsi="Calibri"/>
          <w:sz w:val="22"/>
          <w:szCs w:val="22"/>
          <w:lang w:val="en-US" w:bidi="en-US"/>
        </w:rPr>
      </w:pPr>
      <w:proofErr w:type="spell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Vardi</w:t>
      </w:r>
      <w:proofErr w:type="spell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, I. (2011) </w:t>
      </w:r>
      <w:proofErr w:type="gramStart"/>
      <w:r w:rsidRPr="009D6870">
        <w:rPr>
          <w:rFonts w:ascii="Calibri" w:eastAsia="Times New Roman" w:hAnsi="Calibri"/>
          <w:sz w:val="22"/>
          <w:szCs w:val="22"/>
          <w:lang w:val="en-US" w:bidi="en-US"/>
        </w:rPr>
        <w:t>The</w:t>
      </w:r>
      <w:proofErr w:type="gramEnd"/>
      <w:r w:rsidRPr="009D6870">
        <w:rPr>
          <w:rFonts w:ascii="Calibri" w:eastAsia="Times New Roman" w:hAnsi="Calibri"/>
          <w:sz w:val="22"/>
          <w:szCs w:val="22"/>
          <w:lang w:val="en-US" w:bidi="en-US"/>
        </w:rPr>
        <w:t xml:space="preserve"> changing relationship between the Scholarship of Teaching (and Learning) and universities, </w:t>
      </w:r>
      <w:r w:rsidRPr="009D6870">
        <w:rPr>
          <w:rFonts w:ascii="Calibri" w:eastAsia="Times New Roman" w:hAnsi="Calibri"/>
          <w:i/>
          <w:sz w:val="22"/>
          <w:szCs w:val="22"/>
          <w:lang w:val="en-US" w:bidi="en-US"/>
        </w:rPr>
        <w:t>Higher Education Research &amp; Development</w:t>
      </w:r>
      <w:r w:rsidRPr="009D6870">
        <w:rPr>
          <w:rFonts w:ascii="Calibri" w:eastAsia="Times New Roman" w:hAnsi="Calibri"/>
          <w:sz w:val="22"/>
          <w:szCs w:val="22"/>
          <w:lang w:val="en-US" w:bidi="en-US"/>
        </w:rPr>
        <w:t>, 30:1, 1-7</w:t>
      </w:r>
    </w:p>
    <w:p w:rsidR="009D6870" w:rsidRPr="00931048" w:rsidRDefault="009D6870" w:rsidP="00931048">
      <w:pPr>
        <w:rPr>
          <w:rFonts w:ascii="Calibri" w:hAnsi="Calibri"/>
        </w:rPr>
      </w:pPr>
    </w:p>
    <w:p w:rsidR="003C5863" w:rsidRDefault="003C5863"/>
    <w:p w:rsidR="00A93B21" w:rsidRDefault="00A93B21"/>
    <w:p w:rsidR="00A93B21" w:rsidRPr="00A93B21" w:rsidRDefault="00A93B21" w:rsidP="00A93B21"/>
    <w:sectPr w:rsidR="00A93B21" w:rsidRPr="00A9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vTTec36968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4E32"/>
    <w:multiLevelType w:val="hybridMultilevel"/>
    <w:tmpl w:val="0E04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63"/>
    <w:rsid w:val="000C4EB6"/>
    <w:rsid w:val="00105133"/>
    <w:rsid w:val="00133267"/>
    <w:rsid w:val="001500ED"/>
    <w:rsid w:val="00154CCA"/>
    <w:rsid w:val="00185721"/>
    <w:rsid w:val="001C6F33"/>
    <w:rsid w:val="00220EFF"/>
    <w:rsid w:val="002C2AA5"/>
    <w:rsid w:val="00307F85"/>
    <w:rsid w:val="00320352"/>
    <w:rsid w:val="0032066E"/>
    <w:rsid w:val="003246B9"/>
    <w:rsid w:val="00357DA7"/>
    <w:rsid w:val="00365047"/>
    <w:rsid w:val="003B071A"/>
    <w:rsid w:val="003C1922"/>
    <w:rsid w:val="003C5863"/>
    <w:rsid w:val="003D2344"/>
    <w:rsid w:val="003D4CF2"/>
    <w:rsid w:val="00420F84"/>
    <w:rsid w:val="00481EE2"/>
    <w:rsid w:val="00483469"/>
    <w:rsid w:val="00503505"/>
    <w:rsid w:val="00520244"/>
    <w:rsid w:val="00553AD3"/>
    <w:rsid w:val="00595211"/>
    <w:rsid w:val="00603ABD"/>
    <w:rsid w:val="00605623"/>
    <w:rsid w:val="0066439C"/>
    <w:rsid w:val="00671A3F"/>
    <w:rsid w:val="006B6C41"/>
    <w:rsid w:val="006C6CF6"/>
    <w:rsid w:val="006F38AF"/>
    <w:rsid w:val="006F719B"/>
    <w:rsid w:val="0070158D"/>
    <w:rsid w:val="00704B4B"/>
    <w:rsid w:val="00732BE3"/>
    <w:rsid w:val="00740F6B"/>
    <w:rsid w:val="0079088D"/>
    <w:rsid w:val="007D03C5"/>
    <w:rsid w:val="007E5976"/>
    <w:rsid w:val="007E7DD8"/>
    <w:rsid w:val="00811B25"/>
    <w:rsid w:val="0085521F"/>
    <w:rsid w:val="00862F5C"/>
    <w:rsid w:val="008958CE"/>
    <w:rsid w:val="00896551"/>
    <w:rsid w:val="008972B0"/>
    <w:rsid w:val="008C4E90"/>
    <w:rsid w:val="008D6B69"/>
    <w:rsid w:val="00931048"/>
    <w:rsid w:val="0095321F"/>
    <w:rsid w:val="00955D02"/>
    <w:rsid w:val="0097617B"/>
    <w:rsid w:val="009A066E"/>
    <w:rsid w:val="009B5333"/>
    <w:rsid w:val="009C2B89"/>
    <w:rsid w:val="009C542E"/>
    <w:rsid w:val="009D6870"/>
    <w:rsid w:val="00A0520D"/>
    <w:rsid w:val="00A1528D"/>
    <w:rsid w:val="00A47C45"/>
    <w:rsid w:val="00A93B21"/>
    <w:rsid w:val="00AC710B"/>
    <w:rsid w:val="00AE2B6E"/>
    <w:rsid w:val="00B07B59"/>
    <w:rsid w:val="00B7358B"/>
    <w:rsid w:val="00BE3A55"/>
    <w:rsid w:val="00C071E2"/>
    <w:rsid w:val="00C67F19"/>
    <w:rsid w:val="00C926D8"/>
    <w:rsid w:val="00D0633A"/>
    <w:rsid w:val="00D16EF8"/>
    <w:rsid w:val="00D3082F"/>
    <w:rsid w:val="00D61353"/>
    <w:rsid w:val="00D81B97"/>
    <w:rsid w:val="00D951CC"/>
    <w:rsid w:val="00D9764D"/>
    <w:rsid w:val="00DC5F46"/>
    <w:rsid w:val="00DE2FCB"/>
    <w:rsid w:val="00DF44F7"/>
    <w:rsid w:val="00E15719"/>
    <w:rsid w:val="00F36EBA"/>
    <w:rsid w:val="00F64669"/>
    <w:rsid w:val="00F713D9"/>
    <w:rsid w:val="00F7207E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EDDF-DE05-4D79-B758-8760685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72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277">
          <w:marLeft w:val="0"/>
          <w:marRight w:val="0"/>
          <w:marTop w:val="100"/>
          <w:marBottom w:val="100"/>
          <w:divBdr>
            <w:top w:val="dotted" w:sz="6" w:space="0" w:color="F6F6F6"/>
            <w:left w:val="dotted" w:sz="6" w:space="0" w:color="F6F6F6"/>
            <w:bottom w:val="dotted" w:sz="6" w:space="0" w:color="F6F6F6"/>
            <w:right w:val="dotted" w:sz="6" w:space="0" w:color="F6F6F6"/>
          </w:divBdr>
          <w:divsChild>
            <w:div w:id="1244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22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6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58322">
                                                      <w:marLeft w:val="2"/>
                                                      <w:marRight w:val="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55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955624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5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14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50588">
                                                                              <w:marLeft w:val="1200"/>
                                                                              <w:marRight w:val="1200"/>
                                                                              <w:marTop w:val="375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40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6449-8E92-4C7C-A197-EBED6A19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Amanda</dc:creator>
  <cp:keywords/>
  <dc:description/>
  <cp:lastModifiedBy>Elizabeth Kellam</cp:lastModifiedBy>
  <cp:revision>2</cp:revision>
  <dcterms:created xsi:type="dcterms:W3CDTF">2018-12-07T16:32:00Z</dcterms:created>
  <dcterms:modified xsi:type="dcterms:W3CDTF">2018-12-07T16:32:00Z</dcterms:modified>
</cp:coreProperties>
</file>